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宋体" w:eastAsia="黑体"/>
          <w:sz w:val="44"/>
        </w:rPr>
      </w:pPr>
      <w:bookmarkStart w:id="0" w:name="_Toc78209907"/>
    </w:p>
    <w:p>
      <w:pPr>
        <w:jc w:val="center"/>
        <w:rPr>
          <w:rFonts w:hint="eastAsia" w:ascii="黑体" w:hAnsi="宋体" w:eastAsia="黑体"/>
          <w:sz w:val="44"/>
        </w:rPr>
      </w:pPr>
    </w:p>
    <w:p>
      <w:pPr>
        <w:jc w:val="center"/>
        <w:rPr>
          <w:rFonts w:hint="eastAsia" w:ascii="黑体" w:hAnsi="宋体" w:eastAsia="黑体"/>
          <w:sz w:val="44"/>
        </w:rPr>
      </w:pPr>
    </w:p>
    <w:p>
      <w:pPr>
        <w:jc w:val="center"/>
        <w:rPr>
          <w:rFonts w:hint="eastAsia" w:ascii="黑体" w:hAnsi="宋体" w:eastAsia="黑体"/>
          <w:sz w:val="44"/>
        </w:rPr>
      </w:pPr>
    </w:p>
    <w:tbl>
      <w:tblPr>
        <w:tblStyle w:val="36"/>
        <w:tblpPr w:leftFromText="180" w:rightFromText="180" w:vertAnchor="text" w:horzAnchor="page" w:tblpX="1270" w:tblpY="129"/>
        <w:tblOverlap w:val="never"/>
        <w:tblW w:w="9855" w:type="dxa"/>
        <w:tblInd w:w="0" w:type="dxa"/>
        <w:tblLayout w:type="fixed"/>
        <w:tblCellMar>
          <w:top w:w="0" w:type="dxa"/>
          <w:left w:w="108" w:type="dxa"/>
          <w:bottom w:w="0" w:type="dxa"/>
          <w:right w:w="108" w:type="dxa"/>
        </w:tblCellMar>
      </w:tblPr>
      <w:tblGrid>
        <w:gridCol w:w="9855"/>
      </w:tblGrid>
      <w:tr>
        <w:tblPrEx>
          <w:tblCellMar>
            <w:top w:w="0" w:type="dxa"/>
            <w:left w:w="108" w:type="dxa"/>
            <w:bottom w:w="0" w:type="dxa"/>
            <w:right w:w="108" w:type="dxa"/>
          </w:tblCellMar>
        </w:tblPrEx>
        <w:trPr>
          <w:trHeight w:val="1440" w:hRule="atLeast"/>
        </w:trPr>
        <w:tc>
          <w:tcPr>
            <w:tcW w:w="9855" w:type="dxa"/>
            <w:tcBorders>
              <w:bottom w:val="single" w:color="4F81BD" w:sz="4" w:space="0"/>
            </w:tcBorders>
            <w:vAlign w:val="center"/>
          </w:tcPr>
          <w:p>
            <w:pPr>
              <w:jc w:val="center"/>
              <w:rPr>
                <w:rFonts w:ascii="Cambria" w:hAnsi="Cambria" w:eastAsia="黑体"/>
                <w:sz w:val="70"/>
                <w:szCs w:val="70"/>
              </w:rPr>
            </w:pPr>
            <w:r>
              <w:rPr>
                <w:rFonts w:hint="eastAsia" w:ascii="黑体" w:hAnsi="宋体" w:eastAsia="黑体"/>
                <w:sz w:val="44"/>
              </w:rPr>
              <w:t>《</w:t>
            </w:r>
            <w:r>
              <w:rPr>
                <w:rFonts w:hint="eastAsia" w:ascii="宋体" w:hAnsi="宋体" w:cs="宋体"/>
                <w:b/>
                <w:sz w:val="52"/>
                <w:szCs w:val="52"/>
                <w:lang w:bidi="ar"/>
              </w:rPr>
              <w:t>风险管理计划</w:t>
            </w:r>
            <w:r>
              <w:rPr>
                <w:rFonts w:hint="eastAsia" w:ascii="黑体" w:hAnsi="宋体" w:eastAsia="黑体"/>
                <w:sz w:val="44"/>
              </w:rPr>
              <w:t>》</w:t>
            </w:r>
          </w:p>
        </w:tc>
      </w:tr>
      <w:tr>
        <w:tblPrEx>
          <w:tblCellMar>
            <w:top w:w="0" w:type="dxa"/>
            <w:left w:w="108" w:type="dxa"/>
            <w:bottom w:w="0" w:type="dxa"/>
            <w:right w:w="108" w:type="dxa"/>
          </w:tblCellMar>
        </w:tblPrEx>
        <w:trPr>
          <w:trHeight w:val="720" w:hRule="atLeast"/>
        </w:trPr>
        <w:tc>
          <w:tcPr>
            <w:tcW w:w="9855" w:type="dxa"/>
            <w:tcBorders>
              <w:top w:val="single" w:color="4F81BD" w:sz="4" w:space="0"/>
            </w:tcBorders>
            <w:vAlign w:val="center"/>
          </w:tcPr>
          <w:p>
            <w:pPr>
              <w:pStyle w:val="109"/>
              <w:jc w:val="center"/>
              <w:rPr>
                <w:rFonts w:hint="eastAsia" w:ascii="宋体" w:hAnsi="宋体" w:cs="宋体"/>
                <w:sz w:val="24"/>
              </w:rPr>
            </w:pPr>
            <w:r>
              <w:rPr>
                <w:rFonts w:hint="eastAsia" w:ascii="宋体" w:hAnsi="宋体" w:cs="宋体"/>
                <w:b/>
                <w:sz w:val="24"/>
              </w:rPr>
              <w:t>文件编号：</w:t>
            </w:r>
            <w:r>
              <w:rPr>
                <w:rFonts w:cs="宋体" w:asciiTheme="majorHAnsi" w:hAnsiTheme="majorHAnsi"/>
                <w:b/>
                <w:sz w:val="24"/>
              </w:rPr>
              <w:t>JS-JL-040</w:t>
            </w:r>
          </w:p>
        </w:tc>
      </w:tr>
      <w:tr>
        <w:tblPrEx>
          <w:tblCellMar>
            <w:top w:w="0" w:type="dxa"/>
            <w:left w:w="108" w:type="dxa"/>
            <w:bottom w:w="0" w:type="dxa"/>
            <w:right w:w="108" w:type="dxa"/>
          </w:tblCellMar>
        </w:tblPrEx>
        <w:trPr>
          <w:trHeight w:val="360" w:hRule="atLeast"/>
        </w:trPr>
        <w:tc>
          <w:tcPr>
            <w:tcW w:w="9855" w:type="dxa"/>
            <w:tcBorders>
              <w:bottom w:val="nil"/>
            </w:tcBorders>
            <w:vAlign w:val="center"/>
          </w:tcPr>
          <w:p>
            <w:pPr>
              <w:pStyle w:val="109"/>
              <w:jc w:val="center"/>
              <w:rPr>
                <w:rFonts w:hint="eastAsia" w:ascii="宋体" w:hAnsi="宋体" w:cs="宋体"/>
                <w:sz w:val="24"/>
              </w:rPr>
            </w:pPr>
            <w:r>
              <w:rPr>
                <w:rFonts w:hint="eastAsia" w:ascii="宋体" w:hAnsi="宋体" w:cs="宋体"/>
                <w:b/>
                <w:sz w:val="24"/>
              </w:rPr>
              <w:t>版本：</w:t>
            </w:r>
            <w:r>
              <w:rPr>
                <w:rFonts w:cs="宋体" w:asciiTheme="majorHAnsi" w:hAnsiTheme="majorHAnsi"/>
                <w:b/>
                <w:sz w:val="24"/>
              </w:rPr>
              <w:t>A1</w:t>
            </w:r>
          </w:p>
        </w:tc>
      </w:tr>
    </w:tbl>
    <w:p/>
    <w:p/>
    <w:p/>
    <w:p/>
    <w:p>
      <w:pPr>
        <w:pStyle w:val="34"/>
        <w:rPr>
          <w:rFonts w:hint="eastAsia" w:ascii="宋体" w:hAnsi="宋体" w:cs="宋体"/>
          <w:sz w:val="40"/>
          <w:szCs w:val="40"/>
        </w:rPr>
      </w:pPr>
    </w:p>
    <w:p>
      <w:pPr>
        <w:jc w:val="center"/>
        <w:rPr>
          <w:rFonts w:hint="eastAsia" w:ascii="宋体" w:hAnsi="宋体" w:cs="宋体"/>
          <w:bCs/>
          <w:sz w:val="32"/>
          <w:szCs w:val="32"/>
        </w:rPr>
      </w:pPr>
    </w:p>
    <w:p>
      <w:pPr>
        <w:jc w:val="center"/>
        <w:rPr>
          <w:rFonts w:hint="eastAsia" w:ascii="宋体" w:hAnsi="宋体" w:cs="宋体"/>
          <w:bCs/>
          <w:sz w:val="32"/>
          <w:szCs w:val="32"/>
        </w:rPr>
      </w:pPr>
    </w:p>
    <w:p>
      <w:pPr>
        <w:pStyle w:val="109"/>
        <w:jc w:val="center"/>
        <w:rPr>
          <w:rFonts w:ascii="Cambria" w:hAnsi="Cambria"/>
          <w:b/>
          <w:sz w:val="24"/>
        </w:rPr>
      </w:pPr>
    </w:p>
    <w:tbl>
      <w:tblPr>
        <w:tblStyle w:val="36"/>
        <w:tblpPr w:leftFromText="180" w:rightFromText="180" w:vertAnchor="text" w:horzAnchor="page" w:tblpX="1470" w:tblpY="395"/>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3223"/>
        <w:gridCol w:w="1637"/>
        <w:gridCol w:w="32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起草人：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bCs/>
                <w:sz w:val="24"/>
              </w:rPr>
            </w:pPr>
            <w:r>
              <w:rPr>
                <w:bCs/>
                <w:sz w:val="24"/>
              </w:rPr>
              <w:t>起草日期：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审核人：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审核日期：</w:t>
            </w:r>
          </w:p>
        </w:tc>
        <w:tc>
          <w:tcPr>
            <w:tcW w:w="3204" w:type="dxa"/>
            <w:vAlign w:val="center"/>
          </w:tcPr>
          <w:p>
            <w:pPr>
              <w:tabs>
                <w:tab w:val="left" w:pos="9356"/>
              </w:tabs>
              <w:jc w:val="center"/>
              <w:rPr>
                <w:bCs/>
                <w:sz w:val="24"/>
              </w:rPr>
            </w:pPr>
            <w:r>
              <w:rPr>
                <w:bCs/>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sz w:val="24"/>
              </w:rPr>
            </w:pPr>
            <w:r>
              <w:rPr>
                <w:bCs/>
                <w:sz w:val="24"/>
              </w:rPr>
              <w:t>批准人：</w:t>
            </w:r>
          </w:p>
        </w:tc>
        <w:tc>
          <w:tcPr>
            <w:tcW w:w="3223" w:type="dxa"/>
            <w:vAlign w:val="center"/>
          </w:tcPr>
          <w:p>
            <w:pPr>
              <w:tabs>
                <w:tab w:val="left" w:pos="9356"/>
              </w:tabs>
              <w:spacing w:line="360" w:lineRule="auto"/>
              <w:jc w:val="center"/>
              <w:rPr>
                <w:bCs/>
                <w:sz w:val="24"/>
              </w:rPr>
            </w:pPr>
          </w:p>
        </w:tc>
        <w:tc>
          <w:tcPr>
            <w:tcW w:w="1637" w:type="dxa"/>
            <w:vAlign w:val="center"/>
          </w:tcPr>
          <w:p>
            <w:pPr>
              <w:tabs>
                <w:tab w:val="left" w:pos="9356"/>
              </w:tabs>
              <w:rPr>
                <w:sz w:val="24"/>
              </w:rPr>
            </w:pPr>
            <w:r>
              <w:rPr>
                <w:bCs/>
                <w:sz w:val="24"/>
              </w:rPr>
              <w:t>批准日期：</w:t>
            </w:r>
          </w:p>
        </w:tc>
        <w:tc>
          <w:tcPr>
            <w:tcW w:w="3204" w:type="dxa"/>
            <w:vAlign w:val="center"/>
          </w:tcPr>
          <w:p>
            <w:pPr>
              <w:tabs>
                <w:tab w:val="left" w:pos="9356"/>
              </w:tabs>
              <w:jc w:val="center"/>
              <w:rPr>
                <w:bCs/>
                <w:sz w:val="24"/>
              </w:rPr>
            </w:pPr>
            <w:r>
              <w:rPr>
                <w:bCs/>
                <w:sz w:val="24"/>
              </w:rPr>
              <w:t xml:space="preserve">   年 </w:t>
            </w:r>
            <w:r>
              <w:rPr>
                <w:rFonts w:hint="eastAsia"/>
                <w:bCs/>
                <w:sz w:val="24"/>
              </w:rPr>
              <w:t xml:space="preserve">   </w:t>
            </w:r>
            <w:r>
              <w:rPr>
                <w:bCs/>
                <w:sz w:val="24"/>
              </w:rPr>
              <w:t xml:space="preserve">月 </w:t>
            </w:r>
            <w:r>
              <w:rPr>
                <w:rFonts w:hint="eastAsia"/>
                <w:bCs/>
                <w:sz w:val="24"/>
              </w:rPr>
              <w:t xml:space="preserve">   </w:t>
            </w:r>
            <w:r>
              <w:rPr>
                <w:bCs/>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542" w:type="dxa"/>
            <w:vAlign w:val="center"/>
          </w:tcPr>
          <w:p>
            <w:pPr>
              <w:tabs>
                <w:tab w:val="left" w:pos="9356"/>
              </w:tabs>
              <w:rPr>
                <w:bCs/>
                <w:sz w:val="24"/>
              </w:rPr>
            </w:pPr>
            <w:r>
              <w:rPr>
                <w:bCs/>
                <w:sz w:val="24"/>
              </w:rPr>
              <w:t>发布日期：</w:t>
            </w:r>
          </w:p>
        </w:tc>
        <w:tc>
          <w:tcPr>
            <w:tcW w:w="3223" w:type="dxa"/>
            <w:vAlign w:val="center"/>
          </w:tcPr>
          <w:p>
            <w:pPr>
              <w:tabs>
                <w:tab w:val="left" w:pos="9356"/>
              </w:tabs>
              <w:jc w:val="center"/>
              <w:rPr>
                <w:bCs/>
                <w:sz w:val="24"/>
              </w:rPr>
            </w:pPr>
            <w:r>
              <w:rPr>
                <w:bCs/>
                <w:sz w:val="24"/>
              </w:rPr>
              <w:t xml:space="preserve">     年    月    日</w:t>
            </w:r>
          </w:p>
        </w:tc>
        <w:tc>
          <w:tcPr>
            <w:tcW w:w="1637" w:type="dxa"/>
            <w:vAlign w:val="center"/>
          </w:tcPr>
          <w:p>
            <w:pPr>
              <w:tabs>
                <w:tab w:val="left" w:pos="9356"/>
              </w:tabs>
              <w:rPr>
                <w:sz w:val="24"/>
              </w:rPr>
            </w:pPr>
            <w:r>
              <w:rPr>
                <w:bCs/>
                <w:sz w:val="24"/>
              </w:rPr>
              <w:t>实施日期：</w:t>
            </w:r>
          </w:p>
        </w:tc>
        <w:tc>
          <w:tcPr>
            <w:tcW w:w="3204" w:type="dxa"/>
            <w:vAlign w:val="center"/>
          </w:tcPr>
          <w:p>
            <w:pPr>
              <w:tabs>
                <w:tab w:val="left" w:pos="9356"/>
              </w:tabs>
              <w:jc w:val="center"/>
              <w:rPr>
                <w:bCs/>
                <w:sz w:val="24"/>
              </w:rPr>
            </w:pPr>
            <w:r>
              <w:rPr>
                <w:bCs/>
                <w:sz w:val="24"/>
              </w:rPr>
              <w:t xml:space="preserve">   年    月    日</w:t>
            </w:r>
          </w:p>
        </w:tc>
      </w:tr>
    </w:tbl>
    <w:p>
      <w:pPr>
        <w:rPr>
          <w:rFonts w:hint="eastAsia" w:hAnsi="宋体"/>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p>
    <w:p>
      <w:pPr>
        <w:jc w:val="center"/>
        <w:rPr>
          <w:rFonts w:hint="eastAsia" w:hAnsi="宋体"/>
          <w:bCs/>
          <w:sz w:val="24"/>
        </w:rPr>
      </w:pPr>
      <w:r>
        <w:rPr>
          <w:rFonts w:hint="eastAsia" w:hAnsi="宋体"/>
          <w:bCs/>
          <w:sz w:val="24"/>
        </w:rPr>
        <w:t>童伴有康（河北）科技有限公司</w:t>
      </w:r>
    </w:p>
    <w:p>
      <w:pPr>
        <w:rPr>
          <w:rFonts w:hint="eastAsia" w:hAnsi="宋体"/>
          <w:bCs/>
          <w:sz w:val="24"/>
        </w:rPr>
        <w:sectPr>
          <w:pgSz w:w="11906" w:h="16838"/>
          <w:pgMar w:top="1440" w:right="1800" w:bottom="1440" w:left="1800" w:header="851" w:footer="992" w:gutter="0"/>
          <w:cols w:space="425" w:num="1"/>
          <w:titlePg/>
          <w:docGrid w:type="lines" w:linePitch="312" w:charSpace="0"/>
        </w:sectPr>
      </w:pPr>
    </w:p>
    <w:p>
      <w:pPr>
        <w:rPr>
          <w:rFonts w:hint="eastAsia" w:hAnsi="宋体"/>
          <w:bCs/>
          <w:sz w:val="24"/>
        </w:rPr>
      </w:pPr>
    </w:p>
    <w:p>
      <w:pPr>
        <w:pStyle w:val="2"/>
        <w:spacing w:line="360" w:lineRule="auto"/>
        <w:rPr>
          <w:sz w:val="24"/>
        </w:rPr>
      </w:pPr>
      <w:r>
        <w:rPr>
          <w:rFonts w:hint="eastAsia"/>
          <w:sz w:val="24"/>
        </w:rPr>
        <w:t>范围</w:t>
      </w:r>
      <w:bookmarkEnd w:id="0"/>
    </w:p>
    <w:p>
      <w:pPr>
        <w:pStyle w:val="3"/>
        <w:numPr>
          <w:ilvl w:val="1"/>
          <w:numId w:val="5"/>
        </w:numPr>
        <w:rPr>
          <w:rFonts w:ascii="Times New Roman" w:hAnsi="Times New Roman"/>
          <w:sz w:val="24"/>
          <w:szCs w:val="28"/>
        </w:rPr>
      </w:pPr>
      <w:bookmarkStart w:id="1" w:name="_Toc78209908"/>
      <w:r>
        <w:rPr>
          <w:rFonts w:hint="eastAsia" w:ascii="Times New Roman" w:hAnsi="Times New Roman"/>
          <w:sz w:val="24"/>
          <w:szCs w:val="28"/>
        </w:rPr>
        <w:t>产品概述</w:t>
      </w:r>
      <w:bookmarkEnd w:id="1"/>
    </w:p>
    <w:p>
      <w:pPr>
        <w:topLinePunct/>
        <w:spacing w:line="360" w:lineRule="auto"/>
        <w:jc w:val="left"/>
        <w:outlineLvl w:val="2"/>
        <w:rPr>
          <w:b/>
          <w:sz w:val="24"/>
        </w:rPr>
      </w:pPr>
      <w:bookmarkStart w:id="2" w:name="_Toc78209909"/>
      <w:r>
        <w:rPr>
          <w:rFonts w:hint="eastAsia"/>
          <w:b/>
          <w:sz w:val="24"/>
        </w:rPr>
        <w:t>1.1.1 产品信息</w:t>
      </w:r>
      <w:bookmarkEnd w:id="2"/>
    </w:p>
    <w:p>
      <w:pPr>
        <w:spacing w:line="360" w:lineRule="auto"/>
        <w:ind w:firstLine="480" w:firstLineChars="200"/>
        <w:jc w:val="left"/>
        <w:rPr>
          <w:sz w:val="24"/>
        </w:rPr>
      </w:pPr>
      <w:r>
        <w:rPr>
          <w:rFonts w:hint="eastAsia"/>
          <w:sz w:val="24"/>
        </w:rPr>
        <w:t>本产品风险管理计划涉及的产品信息如下：</w:t>
      </w:r>
    </w:p>
    <w:p>
      <w:pPr>
        <w:spacing w:line="360" w:lineRule="auto"/>
        <w:ind w:firstLine="480" w:firstLineChars="200"/>
        <w:jc w:val="left"/>
        <w:rPr>
          <w:sz w:val="24"/>
        </w:rPr>
      </w:pPr>
      <w:r>
        <w:rPr>
          <w:rFonts w:hint="eastAsia"/>
          <w:sz w:val="24"/>
        </w:rPr>
        <w:t>产品名称：儿童手部X射线影像处理软件</w:t>
      </w:r>
    </w:p>
    <w:p>
      <w:pPr>
        <w:spacing w:line="360" w:lineRule="auto"/>
        <w:ind w:firstLine="480" w:firstLineChars="200"/>
        <w:jc w:val="left"/>
        <w:rPr>
          <w:sz w:val="24"/>
        </w:rPr>
      </w:pPr>
      <w:r>
        <w:rPr>
          <w:rFonts w:hint="eastAsia"/>
          <w:sz w:val="24"/>
        </w:rPr>
        <w:t>产品型号：</w:t>
      </w:r>
      <w:r>
        <w:rPr>
          <w:rFonts w:hint="eastAsia" w:cs="宋体"/>
          <w:sz w:val="24"/>
          <w:szCs w:val="28"/>
        </w:rPr>
        <w:t>TB-DOCTOR-01</w:t>
      </w:r>
    </w:p>
    <w:p>
      <w:pPr>
        <w:spacing w:line="360" w:lineRule="auto"/>
        <w:ind w:firstLine="480" w:firstLineChars="200"/>
        <w:jc w:val="left"/>
        <w:rPr>
          <w:sz w:val="24"/>
        </w:rPr>
      </w:pPr>
      <w:r>
        <w:rPr>
          <w:rFonts w:hint="eastAsia"/>
          <w:sz w:val="24"/>
        </w:rPr>
        <w:t>软件版本：</w:t>
      </w:r>
      <w:r>
        <w:rPr>
          <w:rFonts w:hint="eastAsia" w:cs="宋体"/>
          <w:sz w:val="24"/>
          <w:szCs w:val="28"/>
        </w:rPr>
        <w:t>V2.0.0</w:t>
      </w:r>
    </w:p>
    <w:p>
      <w:pPr>
        <w:topLinePunct/>
        <w:spacing w:line="360" w:lineRule="auto"/>
        <w:jc w:val="left"/>
        <w:outlineLvl w:val="2"/>
        <w:rPr>
          <w:b/>
          <w:sz w:val="24"/>
        </w:rPr>
      </w:pPr>
      <w:bookmarkStart w:id="3" w:name="_Toc78209910"/>
      <w:r>
        <w:rPr>
          <w:rFonts w:hint="eastAsia"/>
          <w:b/>
          <w:sz w:val="24"/>
        </w:rPr>
        <w:t>1.1.2 企业开发背景</w:t>
      </w:r>
      <w:bookmarkEnd w:id="3"/>
    </w:p>
    <w:p>
      <w:pPr>
        <w:widowControl/>
        <w:spacing w:line="360" w:lineRule="auto"/>
        <w:ind w:firstLine="480" w:firstLineChars="200"/>
        <w:jc w:val="left"/>
        <w:rPr>
          <w:rFonts w:cs="宋体"/>
          <w:kern w:val="0"/>
          <w:sz w:val="24"/>
          <w:szCs w:val="31"/>
          <w:lang w:bidi="ar"/>
        </w:rPr>
      </w:pPr>
      <w:bookmarkStart w:id="4" w:name="_Toc78209911"/>
      <w:r>
        <w:rPr>
          <w:rFonts w:hint="eastAsia" w:cs="宋体"/>
          <w:kern w:val="0"/>
          <w:sz w:val="24"/>
          <w:szCs w:val="31"/>
          <w:lang w:bidi="ar"/>
        </w:rPr>
        <w:t>在儿童成长过程中，准确评估其生长发育状况对于及时发现潜在问题、保障儿童健康成长至关重要。骨龄作为反映儿童骨骼发育成熟程度的重要指标，能够较为准确地评估儿童的生长潜力和发育阶段，为临床诊断和治疗提供重要依据。传统诊断方法的局限性，传统的骨龄评估方法主要依靠人工读片，通过放射科医生或专业人员观察儿童手部X片上骨骼的形态、结构和发育特征来判断骨龄。这种方法过程耗时较长，效率较低、且记忆容易混乱。此外人工读片对于细微的骨骼变化可能不够敏感，容易出现误诊或漏诊的情况。</w:t>
      </w:r>
    </w:p>
    <w:p>
      <w:pPr>
        <w:widowControl/>
        <w:spacing w:line="360" w:lineRule="auto"/>
        <w:ind w:firstLine="480" w:firstLineChars="200"/>
        <w:jc w:val="left"/>
        <w:rPr>
          <w:rFonts w:cs="宋体"/>
          <w:kern w:val="0"/>
          <w:sz w:val="24"/>
          <w:szCs w:val="31"/>
          <w:lang w:bidi="ar"/>
        </w:rPr>
      </w:pPr>
      <w:r>
        <w:rPr>
          <w:rFonts w:hint="eastAsia" w:cs="宋体"/>
          <w:kern w:val="0"/>
          <w:sz w:val="24"/>
          <w:szCs w:val="31"/>
          <w:lang w:bidi="ar"/>
        </w:rPr>
        <w:t>随着医学影像学技术、计算机技术的不断发展，为研发更加准确、提高骨龄诊断的准确性和可靠性。我司整合现有资源，将X光片与软件产品相结合，使得软件产品能够</w:t>
      </w:r>
      <w:r>
        <w:rPr>
          <w:rFonts w:hint="eastAsia" w:cs="宋体"/>
          <w:sz w:val="24"/>
          <w:szCs w:val="28"/>
        </w:rPr>
        <w:t>对儿童手部X射线影像图片进行曝光、放大、翻转，并主动提供可供选择的骨龄评价方法供医生学习和对照，辅助其进行临床决策。</w:t>
      </w:r>
      <w:r>
        <w:rPr>
          <w:rFonts w:hint="eastAsia" w:cs="宋体"/>
          <w:kern w:val="0"/>
          <w:sz w:val="24"/>
          <w:szCs w:val="31"/>
          <w:lang w:bidi="ar"/>
        </w:rPr>
        <w:t xml:space="preserve"> </w:t>
      </w:r>
    </w:p>
    <w:p>
      <w:pPr>
        <w:topLinePunct/>
        <w:spacing w:line="360" w:lineRule="auto"/>
        <w:jc w:val="left"/>
        <w:outlineLvl w:val="2"/>
        <w:rPr>
          <w:b/>
          <w:sz w:val="24"/>
        </w:rPr>
      </w:pPr>
      <w:r>
        <w:rPr>
          <w:rFonts w:hint="eastAsia"/>
          <w:b/>
          <w:sz w:val="24"/>
        </w:rPr>
        <w:t>1.1.3 产品特点</w:t>
      </w:r>
      <w:bookmarkEnd w:id="4"/>
    </w:p>
    <w:p>
      <w:pPr>
        <w:spacing w:line="360" w:lineRule="auto"/>
        <w:ind w:firstLine="480" w:firstLineChars="200"/>
        <w:jc w:val="left"/>
        <w:rPr>
          <w:sz w:val="24"/>
        </w:rPr>
      </w:pPr>
      <w:r>
        <w:rPr>
          <w:rFonts w:hint="eastAsia"/>
          <w:sz w:val="24"/>
        </w:rPr>
        <w:t>对</w:t>
      </w:r>
      <w:r>
        <w:rPr>
          <w:rFonts w:hint="eastAsia" w:cs="宋体"/>
          <w:sz w:val="24"/>
          <w:szCs w:val="28"/>
        </w:rPr>
        <w:t>儿童手部X射线影像进行处理，使用风险小，安全可靠。</w:t>
      </w:r>
    </w:p>
    <w:p>
      <w:pPr>
        <w:topLinePunct/>
        <w:spacing w:line="360" w:lineRule="auto"/>
        <w:jc w:val="left"/>
        <w:outlineLvl w:val="2"/>
        <w:rPr>
          <w:b/>
          <w:sz w:val="24"/>
        </w:rPr>
      </w:pPr>
      <w:bookmarkStart w:id="5" w:name="_Toc78209912"/>
      <w:r>
        <w:rPr>
          <w:rFonts w:hint="eastAsia"/>
          <w:b/>
          <w:sz w:val="24"/>
        </w:rPr>
        <w:t>1.1.4 产品预期用途</w:t>
      </w:r>
      <w:bookmarkEnd w:id="5"/>
    </w:p>
    <w:p>
      <w:pPr>
        <w:pStyle w:val="17"/>
        <w:kinsoku w:val="0"/>
        <w:autoSpaceDE w:val="0"/>
        <w:autoSpaceDN w:val="0"/>
        <w:adjustRightInd w:val="0"/>
        <w:snapToGrid w:val="0"/>
        <w:spacing w:line="360" w:lineRule="auto"/>
        <w:ind w:left="25" w:right="13" w:firstLine="560"/>
        <w:jc w:val="left"/>
        <w:textAlignment w:val="baseline"/>
        <w:rPr>
          <w:rFonts w:cs="宋体"/>
          <w:spacing w:val="0"/>
          <w:szCs w:val="28"/>
        </w:rPr>
      </w:pPr>
      <w:r>
        <w:rPr>
          <w:rFonts w:hint="eastAsia" w:cs="宋体"/>
          <w:spacing w:val="0"/>
          <w:szCs w:val="28"/>
        </w:rPr>
        <w:t>对儿童手部X射线影像进行曝光、放大、翻转；辅助医生进行骨龄评价。</w:t>
      </w:r>
    </w:p>
    <w:p>
      <w:pPr>
        <w:topLinePunct/>
        <w:spacing w:line="360" w:lineRule="auto"/>
        <w:jc w:val="left"/>
        <w:outlineLvl w:val="2"/>
        <w:rPr>
          <w:b/>
          <w:sz w:val="24"/>
        </w:rPr>
      </w:pPr>
      <w:bookmarkStart w:id="6" w:name="_Toc78209913"/>
      <w:r>
        <w:rPr>
          <w:rFonts w:hint="eastAsia"/>
          <w:b/>
          <w:sz w:val="24"/>
        </w:rPr>
        <w:t>1.1.5 产品结构组成</w:t>
      </w:r>
      <w:bookmarkEnd w:id="6"/>
    </w:p>
    <w:p>
      <w:pPr>
        <w:pStyle w:val="17"/>
        <w:kinsoku w:val="0"/>
        <w:autoSpaceDE w:val="0"/>
        <w:autoSpaceDN w:val="0"/>
        <w:adjustRightInd w:val="0"/>
        <w:snapToGrid w:val="0"/>
        <w:spacing w:line="360" w:lineRule="auto"/>
        <w:ind w:left="25" w:right="13" w:firstLine="560"/>
        <w:jc w:val="left"/>
        <w:textAlignment w:val="baseline"/>
        <w:rPr>
          <w:rFonts w:cs="宋体"/>
          <w:spacing w:val="0"/>
          <w:szCs w:val="28"/>
        </w:rPr>
      </w:pPr>
      <w:bookmarkStart w:id="7" w:name="_Toc277082324"/>
      <w:bookmarkStart w:id="8" w:name="_Toc78209914"/>
      <w:r>
        <w:rPr>
          <w:rFonts w:hint="eastAsia" w:cs="宋体"/>
          <w:spacing w:val="0"/>
          <w:szCs w:val="28"/>
        </w:rPr>
        <w:t>本软件主要由登录模块、问诊模块，骨龄评价模块、评价报告模块、档案模块和未完成模块组成。</w:t>
      </w:r>
    </w:p>
    <w:p>
      <w:pPr>
        <w:pStyle w:val="3"/>
        <w:numPr>
          <w:ilvl w:val="1"/>
          <w:numId w:val="5"/>
        </w:numPr>
        <w:rPr>
          <w:rFonts w:ascii="Times New Roman" w:hAnsi="Times New Roman"/>
          <w:sz w:val="24"/>
          <w:szCs w:val="28"/>
        </w:rPr>
      </w:pPr>
      <w:r>
        <w:rPr>
          <w:rFonts w:ascii="Times New Roman" w:hAnsi="Times New Roman"/>
          <w:sz w:val="24"/>
          <w:szCs w:val="28"/>
        </w:rPr>
        <w:t>范围</w:t>
      </w:r>
      <w:bookmarkEnd w:id="7"/>
      <w:bookmarkEnd w:id="8"/>
    </w:p>
    <w:p>
      <w:pPr>
        <w:spacing w:line="360" w:lineRule="auto"/>
        <w:ind w:firstLine="480" w:firstLineChars="200"/>
        <w:jc w:val="left"/>
        <w:rPr>
          <w:bCs/>
          <w:sz w:val="24"/>
          <w:szCs w:val="21"/>
        </w:rPr>
      </w:pPr>
      <w:r>
        <w:rPr>
          <w:bCs/>
          <w:sz w:val="24"/>
          <w:szCs w:val="21"/>
        </w:rPr>
        <w:t>本风险管理计划按照</w:t>
      </w:r>
      <w:r>
        <w:rPr>
          <w:rFonts w:hint="eastAsia"/>
          <w:bCs/>
          <w:sz w:val="24"/>
          <w:szCs w:val="21"/>
        </w:rPr>
        <w:t>GB/T 42062-2022、YY/T 1406.1-2016</w:t>
      </w:r>
      <w:r>
        <w:rPr>
          <w:bCs/>
          <w:sz w:val="24"/>
          <w:szCs w:val="21"/>
        </w:rPr>
        <w:t>以</w:t>
      </w:r>
      <w:r>
        <w:rPr>
          <w:rFonts w:hint="eastAsia"/>
          <w:bCs/>
          <w:sz w:val="24"/>
          <w:szCs w:val="21"/>
        </w:rPr>
        <w:t>《风险管理控制程序》</w:t>
      </w:r>
      <w:r>
        <w:rPr>
          <w:bCs/>
          <w:sz w:val="24"/>
          <w:szCs w:val="21"/>
        </w:rPr>
        <w:t>对产品在其整个生命周期内的风险管理活动进行指导。</w:t>
      </w:r>
    </w:p>
    <w:p>
      <w:pPr>
        <w:spacing w:line="360" w:lineRule="auto"/>
        <w:ind w:firstLine="480" w:firstLineChars="200"/>
        <w:jc w:val="left"/>
        <w:rPr>
          <w:bCs/>
          <w:sz w:val="24"/>
          <w:szCs w:val="21"/>
        </w:rPr>
      </w:pPr>
      <w:r>
        <w:rPr>
          <w:bCs/>
          <w:sz w:val="24"/>
          <w:szCs w:val="21"/>
        </w:rPr>
        <w:t>本计划适用于</w:t>
      </w:r>
      <w:r>
        <w:rPr>
          <w:rFonts w:hint="eastAsia"/>
          <w:bCs/>
          <w:sz w:val="24"/>
          <w:szCs w:val="21"/>
        </w:rPr>
        <w:t>儿童手部X射线影像处理软件</w:t>
      </w:r>
      <w:r>
        <w:rPr>
          <w:bCs/>
          <w:sz w:val="24"/>
          <w:szCs w:val="21"/>
        </w:rPr>
        <w:t>在整个生命周期内所有阶段的风险管理与控制。按照本计划，判定</w:t>
      </w:r>
      <w:r>
        <w:rPr>
          <w:rFonts w:hint="eastAsia"/>
          <w:bCs/>
          <w:sz w:val="24"/>
          <w:szCs w:val="21"/>
        </w:rPr>
        <w:t>该产品</w:t>
      </w:r>
      <w:r>
        <w:rPr>
          <w:bCs/>
          <w:sz w:val="24"/>
          <w:szCs w:val="21"/>
        </w:rPr>
        <w:t>有关的危害，估计和评价风险，控制这些风险，并监控控制措施的有效性。</w:t>
      </w:r>
    </w:p>
    <w:p>
      <w:pPr>
        <w:pStyle w:val="3"/>
        <w:numPr>
          <w:ilvl w:val="1"/>
          <w:numId w:val="5"/>
        </w:numPr>
        <w:rPr>
          <w:rFonts w:ascii="Times New Roman" w:hAnsi="Times New Roman"/>
          <w:sz w:val="24"/>
          <w:szCs w:val="28"/>
        </w:rPr>
      </w:pPr>
      <w:bookmarkStart w:id="9" w:name="_Toc277082325"/>
      <w:bookmarkStart w:id="10" w:name="_Toc78209915"/>
      <w:r>
        <w:rPr>
          <w:rFonts w:ascii="Times New Roman" w:hAnsi="Times New Roman"/>
          <w:sz w:val="24"/>
          <w:szCs w:val="28"/>
        </w:rPr>
        <w:t>可接受风险决策方法</w:t>
      </w:r>
      <w:bookmarkEnd w:id="9"/>
      <w:bookmarkEnd w:id="10"/>
    </w:p>
    <w:p>
      <w:pPr>
        <w:spacing w:line="360" w:lineRule="auto"/>
        <w:ind w:firstLine="480" w:firstLineChars="200"/>
        <w:jc w:val="left"/>
        <w:rPr>
          <w:sz w:val="24"/>
        </w:rPr>
      </w:pPr>
      <w:r>
        <w:rPr>
          <w:sz w:val="24"/>
        </w:rPr>
        <w:t>依据本计划中规定的风险可接受性准则，由风险管理团队对</w:t>
      </w:r>
      <w:r>
        <w:rPr>
          <w:rFonts w:hint="eastAsia"/>
          <w:sz w:val="24"/>
        </w:rPr>
        <w:t>该</w:t>
      </w:r>
      <w:r>
        <w:rPr>
          <w:sz w:val="24"/>
        </w:rPr>
        <w:t>产品相关危害在正常使用、可预见误用以及单一故障情况下可能导致的风险进行评审，评审时基于以下方法判断危害的严重程度：</w:t>
      </w:r>
    </w:p>
    <w:p>
      <w:pPr>
        <w:spacing w:line="360" w:lineRule="auto"/>
        <w:ind w:firstLine="480" w:firstLineChars="200"/>
        <w:jc w:val="left"/>
        <w:rPr>
          <w:sz w:val="24"/>
        </w:rPr>
      </w:pPr>
      <w:r>
        <w:rPr>
          <w:sz w:val="24"/>
        </w:rPr>
        <w:t>——使用已执行的有规定要求的适用标准；</w:t>
      </w:r>
    </w:p>
    <w:p>
      <w:pPr>
        <w:spacing w:line="360" w:lineRule="auto"/>
        <w:ind w:firstLine="480" w:firstLineChars="200"/>
        <w:jc w:val="left"/>
        <w:rPr>
          <w:sz w:val="24"/>
        </w:rPr>
      </w:pPr>
      <w:r>
        <w:rPr>
          <w:sz w:val="24"/>
        </w:rPr>
        <w:t>——已在使用的类似医疗器械的现场资料；</w:t>
      </w:r>
    </w:p>
    <w:p>
      <w:pPr>
        <w:spacing w:line="360" w:lineRule="auto"/>
        <w:ind w:firstLine="480" w:firstLineChars="200"/>
        <w:jc w:val="left"/>
        <w:rPr>
          <w:sz w:val="24"/>
        </w:rPr>
      </w:pPr>
      <w:r>
        <w:rPr>
          <w:sz w:val="24"/>
        </w:rPr>
        <w:t>——由典型使用者进行的适用性实验；</w:t>
      </w:r>
    </w:p>
    <w:p>
      <w:pPr>
        <w:spacing w:line="360" w:lineRule="auto"/>
        <w:ind w:firstLine="480" w:firstLineChars="200"/>
        <w:jc w:val="left"/>
        <w:rPr>
          <w:sz w:val="24"/>
        </w:rPr>
      </w:pPr>
      <w:r>
        <w:rPr>
          <w:sz w:val="24"/>
        </w:rPr>
        <w:t>——临床证据、适当的调研结果、科学技术资料、专家意见；</w:t>
      </w:r>
    </w:p>
    <w:p>
      <w:pPr>
        <w:spacing w:line="360" w:lineRule="auto"/>
        <w:ind w:firstLine="480" w:firstLineChars="200"/>
        <w:jc w:val="left"/>
        <w:rPr>
          <w:sz w:val="24"/>
        </w:rPr>
      </w:pPr>
      <w:r>
        <w:rPr>
          <w:sz w:val="24"/>
        </w:rPr>
        <w:t>——外部质量评定情况；</w:t>
      </w:r>
    </w:p>
    <w:p>
      <w:pPr>
        <w:spacing w:line="360" w:lineRule="auto"/>
        <w:ind w:firstLine="480" w:firstLineChars="200"/>
        <w:jc w:val="left"/>
        <w:rPr>
          <w:sz w:val="24"/>
        </w:rPr>
      </w:pPr>
      <w:r>
        <w:rPr>
          <w:sz w:val="24"/>
        </w:rPr>
        <w:t>对风险是否可接受进行决策时，必须以当前社会价值为基础。</w:t>
      </w:r>
    </w:p>
    <w:p>
      <w:pPr>
        <w:pStyle w:val="2"/>
        <w:spacing w:line="360" w:lineRule="auto"/>
        <w:rPr>
          <w:sz w:val="24"/>
        </w:rPr>
      </w:pPr>
      <w:bookmarkStart w:id="11" w:name="_Toc78209916"/>
      <w:bookmarkStart w:id="12" w:name="_Toc277082326"/>
      <w:r>
        <w:rPr>
          <w:sz w:val="24"/>
        </w:rPr>
        <w:t>职责与权限分配</w:t>
      </w:r>
      <w:bookmarkEnd w:id="11"/>
      <w:bookmarkEnd w:id="12"/>
    </w:p>
    <w:p>
      <w:pPr>
        <w:spacing w:line="360" w:lineRule="auto"/>
        <w:ind w:firstLine="480" w:firstLineChars="200"/>
        <w:jc w:val="center"/>
        <w:rPr>
          <w:sz w:val="24"/>
        </w:rPr>
      </w:pPr>
      <w:r>
        <w:rPr>
          <w:rFonts w:hint="eastAsia"/>
          <w:sz w:val="24"/>
        </w:rPr>
        <w:t>表1. 风险管理活动参与人员</w:t>
      </w:r>
    </w:p>
    <w:tbl>
      <w:tblPr>
        <w:tblStyle w:val="36"/>
        <w:tblW w:w="0" w:type="auto"/>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8"/>
        <w:gridCol w:w="1550"/>
        <w:gridCol w:w="5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shd w:val="clear" w:color="auto" w:fill="C0C0C0"/>
          </w:tcPr>
          <w:p>
            <w:pPr>
              <w:spacing w:line="360" w:lineRule="auto"/>
              <w:ind w:right="-15" w:rightChars="-7"/>
              <w:jc w:val="center"/>
              <w:rPr>
                <w:b/>
                <w:sz w:val="24"/>
              </w:rPr>
            </w:pPr>
            <w:r>
              <w:rPr>
                <w:rFonts w:hint="eastAsia"/>
                <w:b/>
                <w:sz w:val="24"/>
              </w:rPr>
              <w:t>人员</w:t>
            </w:r>
          </w:p>
        </w:tc>
        <w:tc>
          <w:tcPr>
            <w:tcW w:w="1550" w:type="dxa"/>
            <w:shd w:val="clear" w:color="auto" w:fill="C0C0C0"/>
          </w:tcPr>
          <w:p>
            <w:pPr>
              <w:spacing w:line="360" w:lineRule="auto"/>
              <w:ind w:right="-15" w:rightChars="-7"/>
              <w:jc w:val="center"/>
              <w:rPr>
                <w:b/>
                <w:sz w:val="24"/>
              </w:rPr>
            </w:pPr>
            <w:r>
              <w:rPr>
                <w:rFonts w:hint="eastAsia"/>
                <w:b/>
                <w:sz w:val="24"/>
              </w:rPr>
              <w:t>角色</w:t>
            </w:r>
          </w:p>
        </w:tc>
        <w:tc>
          <w:tcPr>
            <w:tcW w:w="5254" w:type="dxa"/>
            <w:shd w:val="clear" w:color="auto" w:fill="C0C0C0"/>
          </w:tcPr>
          <w:p>
            <w:pPr>
              <w:spacing w:line="360" w:lineRule="auto"/>
              <w:ind w:right="-15" w:rightChars="-7"/>
              <w:jc w:val="center"/>
              <w:rPr>
                <w:b/>
                <w:sz w:val="24"/>
              </w:rPr>
            </w:pPr>
            <w:r>
              <w:rPr>
                <w:rFonts w:hint="eastAsia"/>
                <w:b/>
                <w:sz w:val="24"/>
              </w:rPr>
              <w:t>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Align w:val="center"/>
          </w:tcPr>
          <w:p>
            <w:pPr>
              <w:spacing w:line="360" w:lineRule="auto"/>
              <w:jc w:val="center"/>
              <w:rPr>
                <w:sz w:val="24"/>
                <w:szCs w:val="21"/>
              </w:rPr>
            </w:pPr>
            <w:r>
              <w:rPr>
                <w:rFonts w:hint="eastAsia"/>
                <w:sz w:val="24"/>
                <w:szCs w:val="21"/>
              </w:rPr>
              <w:t>庞海</w:t>
            </w:r>
          </w:p>
        </w:tc>
        <w:tc>
          <w:tcPr>
            <w:tcW w:w="1550" w:type="dxa"/>
            <w:vAlign w:val="center"/>
          </w:tcPr>
          <w:p>
            <w:pPr>
              <w:spacing w:line="360" w:lineRule="auto"/>
              <w:jc w:val="center"/>
              <w:rPr>
                <w:sz w:val="24"/>
                <w:szCs w:val="21"/>
              </w:rPr>
            </w:pPr>
            <w:r>
              <w:rPr>
                <w:rFonts w:hint="eastAsia"/>
                <w:sz w:val="24"/>
                <w:szCs w:val="21"/>
              </w:rPr>
              <w:t>组长</w:t>
            </w:r>
          </w:p>
        </w:tc>
        <w:tc>
          <w:tcPr>
            <w:tcW w:w="5254" w:type="dxa"/>
            <w:vAlign w:val="center"/>
          </w:tcPr>
          <w:p>
            <w:pPr>
              <w:spacing w:line="360" w:lineRule="auto"/>
              <w:rPr>
                <w:sz w:val="24"/>
                <w:szCs w:val="21"/>
              </w:rPr>
            </w:pPr>
            <w:r>
              <w:rPr>
                <w:rFonts w:hint="eastAsia"/>
                <w:sz w:val="24"/>
                <w:szCs w:val="21"/>
              </w:rPr>
              <w:t>对风险管理的实施负责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Align w:val="center"/>
          </w:tcPr>
          <w:p>
            <w:pPr>
              <w:spacing w:line="360" w:lineRule="auto"/>
              <w:jc w:val="center"/>
              <w:rPr>
                <w:sz w:val="24"/>
                <w:szCs w:val="21"/>
              </w:rPr>
            </w:pPr>
            <w:r>
              <w:rPr>
                <w:rFonts w:hint="eastAsia"/>
                <w:sz w:val="24"/>
                <w:szCs w:val="21"/>
              </w:rPr>
              <w:t>刘克省</w:t>
            </w:r>
          </w:p>
        </w:tc>
        <w:tc>
          <w:tcPr>
            <w:tcW w:w="1550" w:type="dxa"/>
            <w:vAlign w:val="center"/>
          </w:tcPr>
          <w:p>
            <w:pPr>
              <w:spacing w:line="360" w:lineRule="auto"/>
              <w:jc w:val="center"/>
              <w:rPr>
                <w:sz w:val="24"/>
                <w:szCs w:val="21"/>
              </w:rPr>
            </w:pPr>
            <w:r>
              <w:rPr>
                <w:rFonts w:hint="eastAsia"/>
                <w:sz w:val="24"/>
                <w:szCs w:val="21"/>
              </w:rPr>
              <w:t>组员</w:t>
            </w:r>
          </w:p>
        </w:tc>
        <w:tc>
          <w:tcPr>
            <w:tcW w:w="5254" w:type="dxa"/>
            <w:vAlign w:val="center"/>
          </w:tcPr>
          <w:p>
            <w:pPr>
              <w:spacing w:line="360" w:lineRule="auto"/>
              <w:rPr>
                <w:sz w:val="24"/>
                <w:szCs w:val="21"/>
              </w:rPr>
            </w:pPr>
            <w:r>
              <w:rPr>
                <w:rFonts w:hint="eastAsia"/>
                <w:sz w:val="24"/>
                <w:szCs w:val="21"/>
              </w:rPr>
              <w:t>从设计开发角度估计风险的发生概率和严重程度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Align w:val="center"/>
          </w:tcPr>
          <w:p>
            <w:pPr>
              <w:spacing w:line="360" w:lineRule="auto"/>
              <w:jc w:val="center"/>
              <w:rPr>
                <w:sz w:val="24"/>
                <w:szCs w:val="21"/>
              </w:rPr>
            </w:pPr>
            <w:r>
              <w:rPr>
                <w:rFonts w:hint="eastAsia"/>
                <w:sz w:val="24"/>
                <w:szCs w:val="21"/>
              </w:rPr>
              <w:t>段奶荣</w:t>
            </w:r>
          </w:p>
        </w:tc>
        <w:tc>
          <w:tcPr>
            <w:tcW w:w="1550" w:type="dxa"/>
            <w:vAlign w:val="center"/>
          </w:tcPr>
          <w:p>
            <w:pPr>
              <w:spacing w:line="360" w:lineRule="auto"/>
              <w:jc w:val="center"/>
              <w:rPr>
                <w:sz w:val="24"/>
                <w:szCs w:val="21"/>
              </w:rPr>
            </w:pPr>
            <w:r>
              <w:rPr>
                <w:rFonts w:hint="eastAsia"/>
                <w:sz w:val="24"/>
                <w:szCs w:val="21"/>
              </w:rPr>
              <w:t>组员</w:t>
            </w:r>
          </w:p>
        </w:tc>
        <w:tc>
          <w:tcPr>
            <w:tcW w:w="5254" w:type="dxa"/>
            <w:vAlign w:val="center"/>
          </w:tcPr>
          <w:p>
            <w:pPr>
              <w:spacing w:line="360" w:lineRule="auto"/>
              <w:rPr>
                <w:sz w:val="24"/>
                <w:szCs w:val="21"/>
              </w:rPr>
            </w:pPr>
            <w:r>
              <w:rPr>
                <w:rFonts w:hint="eastAsia"/>
                <w:sz w:val="24"/>
                <w:szCs w:val="21"/>
              </w:rPr>
              <w:t>从检验角度估计风险的发生概率和严重程度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Align w:val="center"/>
          </w:tcPr>
          <w:p>
            <w:pPr>
              <w:spacing w:line="360" w:lineRule="auto"/>
              <w:jc w:val="center"/>
              <w:rPr>
                <w:sz w:val="24"/>
                <w:szCs w:val="21"/>
              </w:rPr>
            </w:pPr>
            <w:r>
              <w:rPr>
                <w:rFonts w:hint="eastAsia"/>
                <w:sz w:val="24"/>
                <w:szCs w:val="21"/>
              </w:rPr>
              <w:t>赵晓鹏</w:t>
            </w:r>
          </w:p>
        </w:tc>
        <w:tc>
          <w:tcPr>
            <w:tcW w:w="1550" w:type="dxa"/>
            <w:vAlign w:val="center"/>
          </w:tcPr>
          <w:p>
            <w:pPr>
              <w:spacing w:line="360" w:lineRule="auto"/>
              <w:jc w:val="center"/>
              <w:rPr>
                <w:sz w:val="24"/>
                <w:szCs w:val="21"/>
              </w:rPr>
            </w:pPr>
            <w:r>
              <w:rPr>
                <w:rFonts w:hint="eastAsia"/>
                <w:sz w:val="24"/>
                <w:szCs w:val="21"/>
              </w:rPr>
              <w:t>组员</w:t>
            </w:r>
          </w:p>
        </w:tc>
        <w:tc>
          <w:tcPr>
            <w:tcW w:w="5254" w:type="dxa"/>
            <w:vAlign w:val="center"/>
          </w:tcPr>
          <w:p>
            <w:pPr>
              <w:spacing w:line="360" w:lineRule="auto"/>
              <w:rPr>
                <w:sz w:val="24"/>
                <w:szCs w:val="21"/>
              </w:rPr>
            </w:pPr>
            <w:r>
              <w:rPr>
                <w:rFonts w:hint="eastAsia"/>
                <w:sz w:val="24"/>
                <w:szCs w:val="21"/>
              </w:rPr>
              <w:t>从运输、使用角度估计风险的发生概率和严重程度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88" w:type="dxa"/>
            <w:vAlign w:val="center"/>
          </w:tcPr>
          <w:p>
            <w:pPr>
              <w:spacing w:line="360" w:lineRule="auto"/>
              <w:jc w:val="center"/>
              <w:rPr>
                <w:sz w:val="24"/>
                <w:szCs w:val="21"/>
              </w:rPr>
            </w:pPr>
            <w:r>
              <w:rPr>
                <w:rFonts w:hint="eastAsia"/>
                <w:sz w:val="24"/>
                <w:szCs w:val="21"/>
              </w:rPr>
              <w:t>陈富</w:t>
            </w:r>
          </w:p>
        </w:tc>
        <w:tc>
          <w:tcPr>
            <w:tcW w:w="1550" w:type="dxa"/>
            <w:vAlign w:val="center"/>
          </w:tcPr>
          <w:p>
            <w:pPr>
              <w:spacing w:line="360" w:lineRule="auto"/>
              <w:jc w:val="center"/>
              <w:rPr>
                <w:sz w:val="24"/>
                <w:szCs w:val="21"/>
              </w:rPr>
            </w:pPr>
            <w:r>
              <w:rPr>
                <w:rFonts w:hint="eastAsia"/>
                <w:sz w:val="24"/>
                <w:szCs w:val="21"/>
              </w:rPr>
              <w:t>组员</w:t>
            </w:r>
          </w:p>
        </w:tc>
        <w:tc>
          <w:tcPr>
            <w:tcW w:w="5254" w:type="dxa"/>
            <w:vAlign w:val="center"/>
          </w:tcPr>
          <w:p>
            <w:pPr>
              <w:spacing w:line="360" w:lineRule="auto"/>
              <w:rPr>
                <w:sz w:val="24"/>
                <w:szCs w:val="21"/>
              </w:rPr>
            </w:pPr>
            <w:r>
              <w:rPr>
                <w:rFonts w:hint="eastAsia"/>
                <w:sz w:val="24"/>
                <w:szCs w:val="21"/>
              </w:rPr>
              <w:t>从临床角度估计风险概率和严重程度</w:t>
            </w:r>
          </w:p>
        </w:tc>
      </w:tr>
    </w:tbl>
    <w:p>
      <w:pPr>
        <w:spacing w:line="360" w:lineRule="auto"/>
        <w:ind w:firstLine="480" w:firstLineChars="200"/>
        <w:rPr>
          <w:sz w:val="24"/>
        </w:rPr>
      </w:pPr>
    </w:p>
    <w:p>
      <w:pPr>
        <w:spacing w:line="360" w:lineRule="auto"/>
        <w:ind w:firstLine="480" w:firstLineChars="200"/>
        <w:jc w:val="center"/>
        <w:rPr>
          <w:sz w:val="24"/>
        </w:rPr>
      </w:pPr>
      <w:r>
        <w:rPr>
          <w:rFonts w:hint="eastAsia"/>
          <w:sz w:val="24"/>
        </w:rPr>
        <w:t>表2. 风险管理评审人员</w:t>
      </w:r>
    </w:p>
    <w:tbl>
      <w:tblPr>
        <w:tblStyle w:val="3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1"/>
        <w:gridCol w:w="1701"/>
        <w:gridCol w:w="4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shd w:val="clear" w:color="auto" w:fill="C0C0C0"/>
            <w:vAlign w:val="center"/>
          </w:tcPr>
          <w:p>
            <w:pPr>
              <w:spacing w:line="360" w:lineRule="auto"/>
              <w:jc w:val="center"/>
              <w:rPr>
                <w:b/>
                <w:sz w:val="24"/>
              </w:rPr>
            </w:pPr>
            <w:r>
              <w:rPr>
                <w:b/>
                <w:sz w:val="24"/>
              </w:rPr>
              <w:t>评审组成员</w:t>
            </w:r>
          </w:p>
        </w:tc>
        <w:tc>
          <w:tcPr>
            <w:tcW w:w="1701" w:type="dxa"/>
            <w:shd w:val="clear" w:color="auto" w:fill="C0C0C0"/>
            <w:vAlign w:val="center"/>
          </w:tcPr>
          <w:p>
            <w:pPr>
              <w:spacing w:line="360" w:lineRule="auto"/>
              <w:jc w:val="center"/>
              <w:rPr>
                <w:b/>
                <w:sz w:val="24"/>
              </w:rPr>
            </w:pPr>
            <w:r>
              <w:rPr>
                <w:rFonts w:hint="eastAsia"/>
                <w:b/>
                <w:sz w:val="24"/>
              </w:rPr>
              <w:t>部门</w:t>
            </w:r>
          </w:p>
        </w:tc>
        <w:tc>
          <w:tcPr>
            <w:tcW w:w="4445" w:type="dxa"/>
            <w:shd w:val="clear" w:color="auto" w:fill="C0C0C0"/>
            <w:vAlign w:val="center"/>
          </w:tcPr>
          <w:p>
            <w:pPr>
              <w:spacing w:line="360" w:lineRule="auto"/>
              <w:jc w:val="center"/>
              <w:rPr>
                <w:b/>
                <w:sz w:val="24"/>
              </w:rPr>
            </w:pPr>
            <w:r>
              <w:rPr>
                <w:rFonts w:hint="eastAsia"/>
                <w:b/>
                <w:sz w:val="24"/>
              </w:rPr>
              <w:t>职务（如组长，组员）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pPr>
              <w:spacing w:line="360" w:lineRule="auto"/>
              <w:jc w:val="center"/>
              <w:rPr>
                <w:sz w:val="24"/>
                <w:szCs w:val="21"/>
              </w:rPr>
            </w:pPr>
            <w:r>
              <w:rPr>
                <w:rFonts w:hint="eastAsia"/>
                <w:sz w:val="24"/>
                <w:szCs w:val="21"/>
              </w:rPr>
              <w:t>庞海</w:t>
            </w:r>
          </w:p>
        </w:tc>
        <w:tc>
          <w:tcPr>
            <w:tcW w:w="1701" w:type="dxa"/>
            <w:vAlign w:val="center"/>
          </w:tcPr>
          <w:p>
            <w:pPr>
              <w:spacing w:line="360" w:lineRule="auto"/>
              <w:jc w:val="center"/>
              <w:rPr>
                <w:sz w:val="24"/>
                <w:szCs w:val="21"/>
              </w:rPr>
            </w:pPr>
            <w:r>
              <w:rPr>
                <w:rFonts w:hint="eastAsia"/>
                <w:sz w:val="24"/>
                <w:szCs w:val="21"/>
              </w:rPr>
              <w:t>总经理</w:t>
            </w:r>
          </w:p>
        </w:tc>
        <w:tc>
          <w:tcPr>
            <w:tcW w:w="4445" w:type="dxa"/>
            <w:vAlign w:val="center"/>
          </w:tcPr>
          <w:p>
            <w:pPr>
              <w:spacing w:line="360" w:lineRule="auto"/>
              <w:jc w:val="center"/>
              <w:rPr>
                <w:sz w:val="24"/>
                <w:szCs w:val="21"/>
              </w:rPr>
            </w:pPr>
            <w:r>
              <w:rPr>
                <w:rFonts w:hint="eastAsia"/>
                <w:sz w:val="24"/>
                <w:szCs w:val="21"/>
              </w:rPr>
              <w:t>组长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pPr>
              <w:spacing w:line="360" w:lineRule="auto"/>
              <w:jc w:val="center"/>
              <w:rPr>
                <w:sz w:val="24"/>
                <w:szCs w:val="21"/>
              </w:rPr>
            </w:pPr>
            <w:r>
              <w:rPr>
                <w:rFonts w:hint="eastAsia"/>
                <w:sz w:val="24"/>
                <w:szCs w:val="21"/>
              </w:rPr>
              <w:t>刘克省</w:t>
            </w:r>
          </w:p>
        </w:tc>
        <w:tc>
          <w:tcPr>
            <w:tcW w:w="1701" w:type="dxa"/>
            <w:vAlign w:val="center"/>
          </w:tcPr>
          <w:p>
            <w:pPr>
              <w:spacing w:line="360" w:lineRule="auto"/>
              <w:jc w:val="center"/>
              <w:rPr>
                <w:sz w:val="24"/>
                <w:szCs w:val="21"/>
              </w:rPr>
            </w:pPr>
            <w:r>
              <w:rPr>
                <w:rFonts w:hint="eastAsia"/>
                <w:sz w:val="24"/>
                <w:szCs w:val="21"/>
              </w:rPr>
              <w:t>技术部</w:t>
            </w:r>
          </w:p>
        </w:tc>
        <w:tc>
          <w:tcPr>
            <w:tcW w:w="4445" w:type="dxa"/>
            <w:vAlign w:val="center"/>
          </w:tcPr>
          <w:p>
            <w:pPr>
              <w:spacing w:line="360" w:lineRule="auto"/>
              <w:jc w:val="center"/>
              <w:rPr>
                <w:sz w:val="24"/>
                <w:szCs w:val="21"/>
              </w:rPr>
            </w:pPr>
            <w:r>
              <w:rPr>
                <w:rFonts w:hint="eastAsia"/>
                <w:sz w:val="24"/>
                <w:szCs w:val="21"/>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pPr>
              <w:spacing w:line="360" w:lineRule="auto"/>
              <w:jc w:val="center"/>
              <w:rPr>
                <w:sz w:val="24"/>
                <w:szCs w:val="21"/>
              </w:rPr>
            </w:pPr>
            <w:r>
              <w:rPr>
                <w:rFonts w:hint="eastAsia"/>
                <w:sz w:val="24"/>
                <w:szCs w:val="21"/>
              </w:rPr>
              <w:t>段奶荣</w:t>
            </w:r>
          </w:p>
        </w:tc>
        <w:tc>
          <w:tcPr>
            <w:tcW w:w="1701" w:type="dxa"/>
            <w:vAlign w:val="center"/>
          </w:tcPr>
          <w:p>
            <w:pPr>
              <w:spacing w:line="360" w:lineRule="auto"/>
              <w:jc w:val="center"/>
              <w:rPr>
                <w:sz w:val="24"/>
                <w:szCs w:val="21"/>
              </w:rPr>
            </w:pPr>
            <w:r>
              <w:rPr>
                <w:rFonts w:hint="eastAsia"/>
                <w:sz w:val="24"/>
                <w:szCs w:val="21"/>
              </w:rPr>
              <w:t>质量部</w:t>
            </w:r>
          </w:p>
        </w:tc>
        <w:tc>
          <w:tcPr>
            <w:tcW w:w="4445" w:type="dxa"/>
            <w:vAlign w:val="center"/>
          </w:tcPr>
          <w:p>
            <w:pPr>
              <w:spacing w:line="360" w:lineRule="auto"/>
              <w:jc w:val="center"/>
              <w:rPr>
                <w:sz w:val="24"/>
                <w:szCs w:val="21"/>
              </w:rPr>
            </w:pPr>
            <w:r>
              <w:rPr>
                <w:rFonts w:hint="eastAsia"/>
                <w:sz w:val="24"/>
                <w:szCs w:val="21"/>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pPr>
              <w:spacing w:line="360" w:lineRule="auto"/>
              <w:jc w:val="center"/>
              <w:rPr>
                <w:sz w:val="24"/>
                <w:szCs w:val="21"/>
              </w:rPr>
            </w:pPr>
            <w:r>
              <w:rPr>
                <w:rFonts w:hint="eastAsia"/>
                <w:sz w:val="24"/>
                <w:szCs w:val="21"/>
              </w:rPr>
              <w:t>赵晓鹏</w:t>
            </w:r>
          </w:p>
        </w:tc>
        <w:tc>
          <w:tcPr>
            <w:tcW w:w="1701" w:type="dxa"/>
            <w:vAlign w:val="center"/>
          </w:tcPr>
          <w:p>
            <w:pPr>
              <w:spacing w:line="360" w:lineRule="auto"/>
              <w:jc w:val="center"/>
              <w:rPr>
                <w:sz w:val="24"/>
                <w:szCs w:val="21"/>
              </w:rPr>
            </w:pPr>
            <w:r>
              <w:rPr>
                <w:rFonts w:hint="eastAsia"/>
                <w:sz w:val="24"/>
                <w:szCs w:val="21"/>
              </w:rPr>
              <w:t>销售部</w:t>
            </w:r>
          </w:p>
        </w:tc>
        <w:tc>
          <w:tcPr>
            <w:tcW w:w="4445" w:type="dxa"/>
            <w:vAlign w:val="center"/>
          </w:tcPr>
          <w:p>
            <w:pPr>
              <w:spacing w:line="360" w:lineRule="auto"/>
              <w:jc w:val="center"/>
              <w:rPr>
                <w:sz w:val="24"/>
                <w:szCs w:val="21"/>
              </w:rPr>
            </w:pPr>
            <w:r>
              <w:rPr>
                <w:rFonts w:hint="eastAsia"/>
                <w:sz w:val="24"/>
                <w:szCs w:val="21"/>
              </w:rPr>
              <w:t>组员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701" w:type="dxa"/>
            <w:vAlign w:val="center"/>
          </w:tcPr>
          <w:p>
            <w:pPr>
              <w:spacing w:line="360" w:lineRule="auto"/>
              <w:jc w:val="center"/>
              <w:rPr>
                <w:sz w:val="24"/>
                <w:szCs w:val="21"/>
              </w:rPr>
            </w:pPr>
            <w:r>
              <w:rPr>
                <w:rFonts w:hint="eastAsia"/>
                <w:sz w:val="24"/>
                <w:szCs w:val="21"/>
              </w:rPr>
              <w:t>陈富</w:t>
            </w:r>
          </w:p>
        </w:tc>
        <w:tc>
          <w:tcPr>
            <w:tcW w:w="1701" w:type="dxa"/>
            <w:vAlign w:val="center"/>
          </w:tcPr>
          <w:p>
            <w:pPr>
              <w:spacing w:line="360" w:lineRule="auto"/>
              <w:jc w:val="center"/>
              <w:rPr>
                <w:sz w:val="24"/>
                <w:szCs w:val="21"/>
              </w:rPr>
            </w:pPr>
            <w:r>
              <w:rPr>
                <w:rFonts w:hint="eastAsia"/>
                <w:sz w:val="24"/>
                <w:szCs w:val="21"/>
              </w:rPr>
              <w:t>质量部</w:t>
            </w:r>
          </w:p>
        </w:tc>
        <w:tc>
          <w:tcPr>
            <w:tcW w:w="4445" w:type="dxa"/>
            <w:vAlign w:val="center"/>
          </w:tcPr>
          <w:p>
            <w:pPr>
              <w:spacing w:line="360" w:lineRule="auto"/>
              <w:jc w:val="center"/>
              <w:rPr>
                <w:sz w:val="24"/>
                <w:szCs w:val="21"/>
              </w:rPr>
            </w:pPr>
            <w:r>
              <w:rPr>
                <w:rFonts w:hint="eastAsia"/>
                <w:sz w:val="24"/>
                <w:szCs w:val="21"/>
              </w:rPr>
              <w:t>组员</w:t>
            </w:r>
          </w:p>
        </w:tc>
      </w:tr>
    </w:tbl>
    <w:p>
      <w:pPr>
        <w:spacing w:line="360" w:lineRule="auto"/>
        <w:rPr>
          <w:sz w:val="24"/>
        </w:rPr>
      </w:pPr>
    </w:p>
    <w:p>
      <w:pPr>
        <w:pStyle w:val="2"/>
        <w:spacing w:line="360" w:lineRule="auto"/>
        <w:rPr>
          <w:sz w:val="24"/>
        </w:rPr>
      </w:pPr>
      <w:bookmarkStart w:id="13" w:name="_Toc78209917"/>
      <w:bookmarkStart w:id="14" w:name="_Toc277082327"/>
      <w:r>
        <w:rPr>
          <w:sz w:val="24"/>
        </w:rPr>
        <w:t>风险管理过程</w:t>
      </w:r>
      <w:bookmarkEnd w:id="13"/>
      <w:bookmarkEnd w:id="14"/>
    </w:p>
    <w:p>
      <w:pPr>
        <w:topLinePunct/>
        <w:spacing w:line="360" w:lineRule="auto"/>
        <w:ind w:firstLine="480" w:firstLineChars="200"/>
        <w:jc w:val="left"/>
        <w:rPr>
          <w:sz w:val="24"/>
        </w:rPr>
      </w:pPr>
      <w:r>
        <w:rPr>
          <w:sz w:val="24"/>
        </w:rPr>
        <w:t>依据体系程序文件《</w:t>
      </w:r>
      <w:r>
        <w:rPr>
          <w:rFonts w:hint="eastAsia"/>
          <w:sz w:val="24"/>
        </w:rPr>
        <w:t xml:space="preserve"> 风险管理控制程序</w:t>
      </w:r>
      <w:r>
        <w:rPr>
          <w:sz w:val="24"/>
        </w:rPr>
        <w:t>》 的要求执行风险管理过程。风险管理过程包括：风险分析、风险评价、风险控制、综合剩余风险评价以及风险</w:t>
      </w:r>
      <w:r>
        <w:rPr>
          <w:rFonts w:hint="eastAsia"/>
          <w:sz w:val="24"/>
        </w:rPr>
        <w:t>/受益分析</w:t>
      </w:r>
      <w:r>
        <w:rPr>
          <w:sz w:val="24"/>
        </w:rPr>
        <w:t>。</w:t>
      </w:r>
    </w:p>
    <w:p>
      <w:pPr>
        <w:pStyle w:val="2"/>
        <w:spacing w:line="360" w:lineRule="auto"/>
        <w:rPr>
          <w:sz w:val="24"/>
        </w:rPr>
      </w:pPr>
      <w:bookmarkStart w:id="15" w:name="_Toc277082328"/>
      <w:bookmarkStart w:id="16" w:name="_Toc78209918"/>
      <w:r>
        <w:rPr>
          <w:sz w:val="24"/>
        </w:rPr>
        <w:t>风险管理活动的评审要求</w:t>
      </w:r>
      <w:bookmarkEnd w:id="15"/>
      <w:bookmarkEnd w:id="16"/>
    </w:p>
    <w:p>
      <w:pPr>
        <w:topLinePunct/>
        <w:spacing w:line="360" w:lineRule="auto"/>
        <w:ind w:firstLine="480" w:firstLineChars="200"/>
        <w:jc w:val="left"/>
        <w:rPr>
          <w:sz w:val="24"/>
        </w:rPr>
      </w:pPr>
      <w:r>
        <w:rPr>
          <w:sz w:val="24"/>
        </w:rPr>
        <w:t>风险管理评审小组的构成必须包括熟悉产品原理及功能的成员（如开发工程师），熟悉产品制造的成员（如制造代表），以及熟悉产品应用的成员（如临床工程师），以及法规工程师。评审组成员应对评审结果的正确性和有效性负责。各部门应配合评审组成员对与产品安全性有关的信息进行评审，为综合剩余风险的评价提供依据。</w:t>
      </w:r>
    </w:p>
    <w:p>
      <w:pPr>
        <w:topLinePunct/>
        <w:spacing w:line="360" w:lineRule="auto"/>
        <w:ind w:firstLine="480" w:firstLineChars="200"/>
        <w:jc w:val="left"/>
        <w:rPr>
          <w:sz w:val="24"/>
        </w:rPr>
      </w:pPr>
      <w:r>
        <w:rPr>
          <w:sz w:val="24"/>
        </w:rPr>
        <w:t>根据以下和安全性有关的信息在产品的设计开发、工程化、试生产及产品生产与售后阶段进行评审：</w:t>
      </w:r>
    </w:p>
    <w:p>
      <w:pPr>
        <w:numPr>
          <w:ilvl w:val="0"/>
          <w:numId w:val="6"/>
        </w:numPr>
        <w:spacing w:line="360" w:lineRule="auto"/>
        <w:ind w:left="794" w:hanging="357"/>
        <w:rPr>
          <w:sz w:val="24"/>
        </w:rPr>
      </w:pPr>
      <w:r>
        <w:rPr>
          <w:sz w:val="24"/>
        </w:rPr>
        <w:t>是否有事先未知的危害出现；</w:t>
      </w:r>
    </w:p>
    <w:p>
      <w:pPr>
        <w:numPr>
          <w:ilvl w:val="0"/>
          <w:numId w:val="6"/>
        </w:numPr>
        <w:spacing w:line="360" w:lineRule="auto"/>
        <w:ind w:left="794" w:hanging="357"/>
        <w:rPr>
          <w:sz w:val="24"/>
        </w:rPr>
      </w:pPr>
      <w:r>
        <w:rPr>
          <w:sz w:val="24"/>
        </w:rPr>
        <w:t>是否有某项危害造成的已被估计的风险（一个或多个）不再是可接受的；</w:t>
      </w:r>
    </w:p>
    <w:p>
      <w:pPr>
        <w:numPr>
          <w:ilvl w:val="0"/>
          <w:numId w:val="6"/>
        </w:numPr>
        <w:spacing w:line="360" w:lineRule="auto"/>
        <w:ind w:left="794" w:hanging="357"/>
        <w:rPr>
          <w:sz w:val="24"/>
        </w:rPr>
      </w:pPr>
      <w:r>
        <w:rPr>
          <w:sz w:val="24"/>
        </w:rPr>
        <w:t>是否初始评定的其它方面已经失效；</w:t>
      </w:r>
    </w:p>
    <w:p>
      <w:pPr>
        <w:numPr>
          <w:ilvl w:val="0"/>
          <w:numId w:val="6"/>
        </w:numPr>
        <w:spacing w:line="360" w:lineRule="auto"/>
        <w:ind w:left="794" w:hanging="357"/>
        <w:rPr>
          <w:sz w:val="24"/>
        </w:rPr>
      </w:pPr>
      <w:r>
        <w:rPr>
          <w:sz w:val="24"/>
        </w:rPr>
        <w:t>产品综合剩余风险是否已降低至可接受水平或经过风险/受益分析判断为可接受。</w:t>
      </w:r>
    </w:p>
    <w:p>
      <w:pPr>
        <w:topLinePunct/>
        <w:spacing w:line="360" w:lineRule="auto"/>
        <w:ind w:firstLine="480" w:firstLineChars="200"/>
        <w:jc w:val="left"/>
        <w:rPr>
          <w:sz w:val="24"/>
        </w:rPr>
      </w:pPr>
      <w:r>
        <w:rPr>
          <w:sz w:val="24"/>
        </w:rPr>
        <w:t>应对产品生产和生产后信息的获取方式进行评审，保持评审记录以证实风险管理计划的每个要素在产品特定的生命周期阶段已被适当的实施。</w:t>
      </w:r>
    </w:p>
    <w:p>
      <w:pPr>
        <w:pStyle w:val="2"/>
        <w:spacing w:line="360" w:lineRule="auto"/>
        <w:rPr>
          <w:sz w:val="24"/>
        </w:rPr>
      </w:pPr>
      <w:bookmarkStart w:id="17" w:name="_Toc78209919"/>
      <w:bookmarkStart w:id="18" w:name="_Toc277082331"/>
      <w:r>
        <w:rPr>
          <w:sz w:val="24"/>
        </w:rPr>
        <w:t>风险可接受性准则</w:t>
      </w:r>
      <w:bookmarkEnd w:id="17"/>
      <w:bookmarkEnd w:id="18"/>
    </w:p>
    <w:p>
      <w:pPr>
        <w:pStyle w:val="89"/>
        <w:keepNext/>
        <w:keepLines/>
        <w:numPr>
          <w:ilvl w:val="0"/>
          <w:numId w:val="7"/>
        </w:numPr>
        <w:spacing w:before="160" w:after="160" w:line="360" w:lineRule="auto"/>
        <w:ind w:firstLineChars="0"/>
        <w:outlineLvl w:val="1"/>
        <w:rPr>
          <w:b/>
          <w:bCs/>
          <w:vanish/>
          <w:sz w:val="24"/>
          <w:szCs w:val="32"/>
        </w:rPr>
      </w:pPr>
      <w:bookmarkStart w:id="19" w:name="_Toc78209920"/>
      <w:bookmarkEnd w:id="19"/>
      <w:bookmarkStart w:id="20" w:name="_Toc277082332"/>
    </w:p>
    <w:p>
      <w:pPr>
        <w:pStyle w:val="89"/>
        <w:keepNext/>
        <w:keepLines/>
        <w:numPr>
          <w:ilvl w:val="0"/>
          <w:numId w:val="7"/>
        </w:numPr>
        <w:spacing w:before="160" w:after="160" w:line="360" w:lineRule="auto"/>
        <w:ind w:firstLineChars="0"/>
        <w:outlineLvl w:val="1"/>
        <w:rPr>
          <w:b/>
          <w:bCs/>
          <w:vanish/>
          <w:sz w:val="24"/>
          <w:szCs w:val="32"/>
        </w:rPr>
      </w:pPr>
      <w:bookmarkStart w:id="21" w:name="_Toc78209921"/>
      <w:bookmarkEnd w:id="21"/>
    </w:p>
    <w:p>
      <w:pPr>
        <w:pStyle w:val="89"/>
        <w:keepNext/>
        <w:keepLines/>
        <w:numPr>
          <w:ilvl w:val="0"/>
          <w:numId w:val="7"/>
        </w:numPr>
        <w:spacing w:before="160" w:after="160" w:line="360" w:lineRule="auto"/>
        <w:ind w:firstLineChars="0"/>
        <w:outlineLvl w:val="1"/>
        <w:rPr>
          <w:b/>
          <w:bCs/>
          <w:vanish/>
          <w:sz w:val="24"/>
          <w:szCs w:val="32"/>
        </w:rPr>
      </w:pPr>
      <w:bookmarkStart w:id="22" w:name="_Toc78209922"/>
      <w:bookmarkEnd w:id="22"/>
    </w:p>
    <w:p>
      <w:pPr>
        <w:pStyle w:val="89"/>
        <w:keepNext/>
        <w:keepLines/>
        <w:numPr>
          <w:ilvl w:val="0"/>
          <w:numId w:val="7"/>
        </w:numPr>
        <w:spacing w:before="160" w:after="160" w:line="360" w:lineRule="auto"/>
        <w:ind w:firstLineChars="0"/>
        <w:outlineLvl w:val="1"/>
        <w:rPr>
          <w:b/>
          <w:bCs/>
          <w:vanish/>
          <w:sz w:val="24"/>
          <w:szCs w:val="32"/>
        </w:rPr>
      </w:pPr>
      <w:bookmarkStart w:id="23" w:name="_Toc78209923"/>
      <w:bookmarkEnd w:id="23"/>
    </w:p>
    <w:p>
      <w:pPr>
        <w:pStyle w:val="89"/>
        <w:keepNext/>
        <w:keepLines/>
        <w:numPr>
          <w:ilvl w:val="0"/>
          <w:numId w:val="7"/>
        </w:numPr>
        <w:spacing w:before="160" w:after="160" w:line="360" w:lineRule="auto"/>
        <w:ind w:firstLineChars="0"/>
        <w:outlineLvl w:val="1"/>
        <w:rPr>
          <w:b/>
          <w:bCs/>
          <w:vanish/>
          <w:sz w:val="24"/>
          <w:szCs w:val="32"/>
        </w:rPr>
      </w:pPr>
      <w:bookmarkStart w:id="24" w:name="_Toc78209924"/>
      <w:bookmarkEnd w:id="24"/>
    </w:p>
    <w:p>
      <w:pPr>
        <w:pStyle w:val="3"/>
        <w:numPr>
          <w:ilvl w:val="1"/>
          <w:numId w:val="7"/>
        </w:numPr>
        <w:rPr>
          <w:rFonts w:ascii="Times New Roman" w:hAnsi="Times New Roman"/>
          <w:sz w:val="24"/>
        </w:rPr>
      </w:pPr>
      <w:bookmarkStart w:id="25" w:name="_Toc78209925"/>
      <w:r>
        <w:rPr>
          <w:rFonts w:ascii="Times New Roman" w:hAnsi="Times New Roman"/>
          <w:sz w:val="24"/>
        </w:rPr>
        <w:t>损害发生的概率等级</w:t>
      </w:r>
      <w:bookmarkEnd w:id="20"/>
      <w:bookmarkEnd w:id="25"/>
    </w:p>
    <w:p>
      <w:pPr>
        <w:spacing w:line="360" w:lineRule="auto"/>
        <w:jc w:val="center"/>
        <w:rPr>
          <w:sz w:val="24"/>
        </w:rPr>
      </w:pPr>
      <w:r>
        <w:rPr>
          <w:rFonts w:hint="eastAsia"/>
          <w:sz w:val="24"/>
        </w:rPr>
        <w:t>表3. 损害发生的概率等级</w:t>
      </w:r>
    </w:p>
    <w:tbl>
      <w:tblPr>
        <w:tblStyle w:val="3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39"/>
        <w:gridCol w:w="2094"/>
        <w:gridCol w:w="35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Borders>
              <w:bottom w:val="single" w:color="auto" w:sz="4" w:space="0"/>
            </w:tcBorders>
            <w:shd w:val="clear" w:color="auto" w:fill="C0C0C0"/>
            <w:vAlign w:val="center"/>
          </w:tcPr>
          <w:p>
            <w:pPr>
              <w:spacing w:line="360" w:lineRule="auto"/>
              <w:jc w:val="center"/>
              <w:rPr>
                <w:sz w:val="24"/>
              </w:rPr>
            </w:pPr>
            <w:r>
              <w:rPr>
                <w:sz w:val="24"/>
              </w:rPr>
              <w:t>等级名称</w:t>
            </w:r>
          </w:p>
        </w:tc>
        <w:tc>
          <w:tcPr>
            <w:tcW w:w="2095" w:type="dxa"/>
            <w:tcBorders>
              <w:bottom w:val="single" w:color="auto" w:sz="4" w:space="0"/>
            </w:tcBorders>
            <w:shd w:val="clear" w:color="auto" w:fill="C0C0C0"/>
            <w:vAlign w:val="center"/>
          </w:tcPr>
          <w:p>
            <w:pPr>
              <w:spacing w:line="360" w:lineRule="auto"/>
              <w:jc w:val="center"/>
              <w:rPr>
                <w:sz w:val="24"/>
              </w:rPr>
            </w:pPr>
            <w:r>
              <w:rPr>
                <w:sz w:val="24"/>
              </w:rPr>
              <w:t>代号</w:t>
            </w:r>
          </w:p>
        </w:tc>
        <w:tc>
          <w:tcPr>
            <w:tcW w:w="3591" w:type="dxa"/>
            <w:tcBorders>
              <w:bottom w:val="single" w:color="auto" w:sz="4" w:space="0"/>
            </w:tcBorders>
            <w:shd w:val="clear" w:color="auto" w:fill="C0C0C0"/>
            <w:vAlign w:val="center"/>
          </w:tcPr>
          <w:p>
            <w:pPr>
              <w:tabs>
                <w:tab w:val="left" w:pos="675"/>
              </w:tabs>
              <w:spacing w:line="360" w:lineRule="auto"/>
              <w:jc w:val="center"/>
              <w:rPr>
                <w:sz w:val="24"/>
              </w:rPr>
            </w:pPr>
            <w:r>
              <w:rPr>
                <w:sz w:val="24"/>
              </w:rPr>
              <w:t>频次（</w:t>
            </w:r>
            <w:r>
              <w:rPr>
                <w:rFonts w:hint="eastAsia"/>
                <w:sz w:val="24"/>
              </w:rPr>
              <w:t>错误</w:t>
            </w:r>
            <w:r>
              <w:rPr>
                <w:sz w:val="24"/>
              </w:rPr>
              <w:t>次数/</w:t>
            </w:r>
            <w:r>
              <w:rPr>
                <w:rFonts w:hint="eastAsia"/>
                <w:sz w:val="24"/>
              </w:rPr>
              <w:t>年处理影像数量</w:t>
            </w:r>
            <w:r>
              <w:rPr>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极少</w:t>
            </w:r>
          </w:p>
        </w:tc>
        <w:tc>
          <w:tcPr>
            <w:tcW w:w="2095" w:type="dxa"/>
          </w:tcPr>
          <w:p>
            <w:pPr>
              <w:spacing w:line="360" w:lineRule="auto"/>
              <w:jc w:val="center"/>
              <w:rPr>
                <w:sz w:val="24"/>
                <w:szCs w:val="21"/>
              </w:rPr>
            </w:pPr>
            <w:r>
              <w:rPr>
                <w:rFonts w:hint="eastAsia"/>
                <w:sz w:val="24"/>
                <w:szCs w:val="21"/>
              </w:rPr>
              <w:t>P1</w:t>
            </w:r>
          </w:p>
        </w:tc>
        <w:tc>
          <w:tcPr>
            <w:tcW w:w="3591" w:type="dxa"/>
          </w:tcPr>
          <w:p>
            <w:pPr>
              <w:spacing w:line="360" w:lineRule="auto"/>
              <w:jc w:val="center"/>
              <w:rPr>
                <w:sz w:val="24"/>
                <w:szCs w:val="21"/>
              </w:rPr>
            </w:pPr>
            <w:r>
              <w:rPr>
                <w:rFonts w:hint="eastAsia"/>
                <w:sz w:val="24"/>
                <w:szCs w:val="21"/>
              </w:rPr>
              <w:t>&lt;10</w:t>
            </w:r>
            <w:r>
              <w:rPr>
                <w:rFonts w:hint="eastAsia"/>
                <w:sz w:val="24"/>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非常少</w:t>
            </w:r>
          </w:p>
        </w:tc>
        <w:tc>
          <w:tcPr>
            <w:tcW w:w="2095" w:type="dxa"/>
          </w:tcPr>
          <w:p>
            <w:pPr>
              <w:spacing w:line="360" w:lineRule="auto"/>
              <w:jc w:val="center"/>
              <w:rPr>
                <w:sz w:val="24"/>
                <w:szCs w:val="21"/>
              </w:rPr>
            </w:pPr>
            <w:r>
              <w:rPr>
                <w:rFonts w:hint="eastAsia"/>
                <w:sz w:val="24"/>
                <w:szCs w:val="21"/>
              </w:rPr>
              <w:t>P2</w:t>
            </w:r>
          </w:p>
        </w:tc>
        <w:tc>
          <w:tcPr>
            <w:tcW w:w="3591" w:type="dxa"/>
          </w:tcPr>
          <w:p>
            <w:pPr>
              <w:spacing w:line="360" w:lineRule="auto"/>
              <w:jc w:val="center"/>
              <w:rPr>
                <w:sz w:val="24"/>
                <w:szCs w:val="21"/>
              </w:rPr>
            </w:pPr>
            <w:r>
              <w:rPr>
                <w:rFonts w:hint="eastAsia"/>
                <w:sz w:val="24"/>
                <w:szCs w:val="21"/>
              </w:rPr>
              <w:t>10</w:t>
            </w:r>
            <w:r>
              <w:rPr>
                <w:rFonts w:hint="eastAsia"/>
                <w:sz w:val="24"/>
                <w:szCs w:val="21"/>
                <w:vertAlign w:val="superscript"/>
              </w:rPr>
              <w:t>-4</w:t>
            </w:r>
            <w:r>
              <w:rPr>
                <w:rFonts w:hint="eastAsia"/>
                <w:sz w:val="24"/>
                <w:szCs w:val="21"/>
              </w:rPr>
              <w:t>～10</w:t>
            </w:r>
            <w:r>
              <w:rPr>
                <w:rFonts w:hint="eastAsia"/>
                <w:sz w:val="24"/>
                <w:szCs w:val="21"/>
                <w:vertAlign w:val="superscript"/>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很少</w:t>
            </w:r>
          </w:p>
        </w:tc>
        <w:tc>
          <w:tcPr>
            <w:tcW w:w="2095" w:type="dxa"/>
          </w:tcPr>
          <w:p>
            <w:pPr>
              <w:spacing w:line="360" w:lineRule="auto"/>
              <w:jc w:val="center"/>
              <w:rPr>
                <w:sz w:val="24"/>
                <w:szCs w:val="21"/>
              </w:rPr>
            </w:pPr>
            <w:r>
              <w:rPr>
                <w:rFonts w:hint="eastAsia"/>
                <w:sz w:val="24"/>
                <w:szCs w:val="21"/>
              </w:rPr>
              <w:t>P3</w:t>
            </w:r>
          </w:p>
        </w:tc>
        <w:tc>
          <w:tcPr>
            <w:tcW w:w="3591" w:type="dxa"/>
          </w:tcPr>
          <w:p>
            <w:pPr>
              <w:spacing w:line="360" w:lineRule="auto"/>
              <w:jc w:val="center"/>
              <w:rPr>
                <w:sz w:val="24"/>
                <w:szCs w:val="21"/>
              </w:rPr>
            </w:pPr>
            <w:r>
              <w:rPr>
                <w:rFonts w:hint="eastAsia"/>
                <w:sz w:val="24"/>
                <w:szCs w:val="21"/>
              </w:rPr>
              <w:t>10</w:t>
            </w:r>
            <w:r>
              <w:rPr>
                <w:rFonts w:hint="eastAsia"/>
                <w:sz w:val="24"/>
                <w:szCs w:val="21"/>
                <w:vertAlign w:val="superscript"/>
              </w:rPr>
              <w:t>-2</w:t>
            </w:r>
            <w:r>
              <w:rPr>
                <w:rFonts w:hint="eastAsia"/>
                <w:sz w:val="24"/>
                <w:szCs w:val="21"/>
              </w:rPr>
              <w:t>～10</w:t>
            </w:r>
            <w:r>
              <w:rPr>
                <w:rFonts w:hint="eastAsia"/>
                <w:sz w:val="24"/>
                <w:szCs w:val="21"/>
                <w:vertAlign w:val="superscript"/>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偶尔</w:t>
            </w:r>
          </w:p>
        </w:tc>
        <w:tc>
          <w:tcPr>
            <w:tcW w:w="2095" w:type="dxa"/>
          </w:tcPr>
          <w:p>
            <w:pPr>
              <w:spacing w:line="360" w:lineRule="auto"/>
              <w:jc w:val="center"/>
              <w:rPr>
                <w:sz w:val="24"/>
                <w:szCs w:val="21"/>
              </w:rPr>
            </w:pPr>
            <w:r>
              <w:rPr>
                <w:rFonts w:hint="eastAsia"/>
                <w:sz w:val="24"/>
                <w:szCs w:val="21"/>
              </w:rPr>
              <w:t>P4</w:t>
            </w:r>
          </w:p>
        </w:tc>
        <w:tc>
          <w:tcPr>
            <w:tcW w:w="3591" w:type="dxa"/>
          </w:tcPr>
          <w:p>
            <w:pPr>
              <w:spacing w:line="360" w:lineRule="auto"/>
              <w:jc w:val="center"/>
              <w:rPr>
                <w:sz w:val="24"/>
                <w:szCs w:val="21"/>
              </w:rPr>
            </w:pPr>
            <w:r>
              <w:rPr>
                <w:rFonts w:hint="eastAsia"/>
                <w:sz w:val="24"/>
                <w:szCs w:val="21"/>
              </w:rPr>
              <w:t>10</w:t>
            </w:r>
            <w:r>
              <w:rPr>
                <w:rFonts w:hint="eastAsia"/>
                <w:sz w:val="24"/>
                <w:szCs w:val="21"/>
                <w:vertAlign w:val="superscript"/>
              </w:rPr>
              <w:t>-1</w:t>
            </w:r>
            <w:r>
              <w:rPr>
                <w:rFonts w:hint="eastAsia"/>
                <w:sz w:val="24"/>
                <w:szCs w:val="21"/>
              </w:rPr>
              <w:t>～10</w:t>
            </w:r>
            <w:r>
              <w:rPr>
                <w:rFonts w:hint="eastAsia"/>
                <w:sz w:val="24"/>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有时</w:t>
            </w:r>
          </w:p>
        </w:tc>
        <w:tc>
          <w:tcPr>
            <w:tcW w:w="2095" w:type="dxa"/>
          </w:tcPr>
          <w:p>
            <w:pPr>
              <w:spacing w:line="360" w:lineRule="auto"/>
              <w:jc w:val="center"/>
              <w:rPr>
                <w:sz w:val="24"/>
                <w:szCs w:val="21"/>
              </w:rPr>
            </w:pPr>
            <w:r>
              <w:rPr>
                <w:rFonts w:hint="eastAsia"/>
                <w:sz w:val="24"/>
                <w:szCs w:val="21"/>
              </w:rPr>
              <w:t>P5</w:t>
            </w:r>
          </w:p>
        </w:tc>
        <w:tc>
          <w:tcPr>
            <w:tcW w:w="3591" w:type="dxa"/>
          </w:tcPr>
          <w:p>
            <w:pPr>
              <w:spacing w:line="360" w:lineRule="auto"/>
              <w:jc w:val="center"/>
              <w:rPr>
                <w:sz w:val="24"/>
                <w:szCs w:val="21"/>
              </w:rPr>
            </w:pPr>
            <w:r>
              <w:rPr>
                <w:rFonts w:hint="eastAsia"/>
                <w:sz w:val="24"/>
                <w:szCs w:val="21"/>
              </w:rPr>
              <w:t>1～10</w:t>
            </w:r>
            <w:r>
              <w:rPr>
                <w:rFonts w:hint="eastAsia"/>
                <w:sz w:val="24"/>
                <w:szCs w:val="21"/>
                <w:vertAlign w:val="superscript"/>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2" w:type="dxa"/>
          </w:tcPr>
          <w:p>
            <w:pPr>
              <w:spacing w:line="360" w:lineRule="auto"/>
              <w:jc w:val="center"/>
              <w:rPr>
                <w:sz w:val="24"/>
                <w:szCs w:val="21"/>
              </w:rPr>
            </w:pPr>
            <w:r>
              <w:rPr>
                <w:rFonts w:hint="eastAsia"/>
                <w:sz w:val="24"/>
                <w:szCs w:val="21"/>
              </w:rPr>
              <w:t>经常</w:t>
            </w:r>
          </w:p>
        </w:tc>
        <w:tc>
          <w:tcPr>
            <w:tcW w:w="2095" w:type="dxa"/>
          </w:tcPr>
          <w:p>
            <w:pPr>
              <w:spacing w:line="360" w:lineRule="auto"/>
              <w:jc w:val="center"/>
              <w:rPr>
                <w:sz w:val="24"/>
                <w:szCs w:val="21"/>
              </w:rPr>
            </w:pPr>
            <w:r>
              <w:rPr>
                <w:rFonts w:hint="eastAsia"/>
                <w:sz w:val="24"/>
                <w:szCs w:val="21"/>
              </w:rPr>
              <w:t>P6</w:t>
            </w:r>
          </w:p>
        </w:tc>
        <w:tc>
          <w:tcPr>
            <w:tcW w:w="3591" w:type="dxa"/>
          </w:tcPr>
          <w:p>
            <w:pPr>
              <w:spacing w:line="360" w:lineRule="auto"/>
              <w:jc w:val="center"/>
              <w:rPr>
                <w:sz w:val="24"/>
                <w:szCs w:val="21"/>
              </w:rPr>
            </w:pPr>
            <w:r>
              <w:rPr>
                <w:rFonts w:hint="eastAsia"/>
                <w:sz w:val="24"/>
                <w:szCs w:val="21"/>
              </w:rPr>
              <w:t>&gt;1</w:t>
            </w:r>
          </w:p>
        </w:tc>
      </w:tr>
    </w:tbl>
    <w:p>
      <w:pPr>
        <w:pStyle w:val="3"/>
        <w:numPr>
          <w:ilvl w:val="1"/>
          <w:numId w:val="7"/>
        </w:numPr>
        <w:rPr>
          <w:rFonts w:ascii="Times New Roman" w:hAnsi="Times New Roman"/>
          <w:sz w:val="24"/>
        </w:rPr>
      </w:pPr>
      <w:bookmarkStart w:id="26" w:name="_Toc277082333"/>
      <w:bookmarkStart w:id="27" w:name="_Toc283041278"/>
      <w:bookmarkStart w:id="28" w:name="_Toc78209926"/>
      <w:r>
        <w:rPr>
          <w:rFonts w:ascii="Times New Roman" w:hAnsi="Times New Roman"/>
          <w:sz w:val="24"/>
        </w:rPr>
        <w:t>损害的严重度</w:t>
      </w:r>
      <w:bookmarkEnd w:id="26"/>
      <w:bookmarkEnd w:id="27"/>
      <w:bookmarkEnd w:id="28"/>
    </w:p>
    <w:p>
      <w:pPr>
        <w:spacing w:line="360" w:lineRule="auto"/>
        <w:jc w:val="center"/>
        <w:rPr>
          <w:sz w:val="24"/>
        </w:rPr>
      </w:pPr>
      <w:r>
        <w:rPr>
          <w:rFonts w:hint="eastAsia"/>
          <w:sz w:val="24"/>
        </w:rPr>
        <w:t>表4. 损害的严重度</w:t>
      </w:r>
    </w:p>
    <w:tbl>
      <w:tblPr>
        <w:tblStyle w:val="3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094"/>
        <w:gridCol w:w="3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Borders>
              <w:bottom w:val="single" w:color="auto" w:sz="4" w:space="0"/>
            </w:tcBorders>
            <w:shd w:val="clear" w:color="auto" w:fill="C0C0C0"/>
            <w:vAlign w:val="center"/>
          </w:tcPr>
          <w:p>
            <w:pPr>
              <w:spacing w:line="360" w:lineRule="auto"/>
              <w:jc w:val="center"/>
              <w:rPr>
                <w:sz w:val="24"/>
              </w:rPr>
            </w:pPr>
            <w:r>
              <w:rPr>
                <w:sz w:val="24"/>
              </w:rPr>
              <w:t>等级名称</w:t>
            </w:r>
          </w:p>
        </w:tc>
        <w:tc>
          <w:tcPr>
            <w:tcW w:w="2095" w:type="dxa"/>
            <w:tcBorders>
              <w:bottom w:val="single" w:color="auto" w:sz="4" w:space="0"/>
            </w:tcBorders>
            <w:shd w:val="clear" w:color="auto" w:fill="C0C0C0"/>
            <w:vAlign w:val="center"/>
          </w:tcPr>
          <w:p>
            <w:pPr>
              <w:spacing w:line="360" w:lineRule="auto"/>
              <w:jc w:val="center"/>
              <w:rPr>
                <w:sz w:val="24"/>
              </w:rPr>
            </w:pPr>
            <w:r>
              <w:rPr>
                <w:sz w:val="24"/>
              </w:rPr>
              <w:t>代号</w:t>
            </w:r>
          </w:p>
        </w:tc>
        <w:tc>
          <w:tcPr>
            <w:tcW w:w="3591" w:type="dxa"/>
            <w:tcBorders>
              <w:bottom w:val="single" w:color="auto" w:sz="4" w:space="0"/>
            </w:tcBorders>
            <w:shd w:val="clear" w:color="auto" w:fill="C0C0C0"/>
            <w:vAlign w:val="center"/>
          </w:tcPr>
          <w:p>
            <w:pPr>
              <w:tabs>
                <w:tab w:val="left" w:pos="675"/>
              </w:tabs>
              <w:spacing w:line="360" w:lineRule="auto"/>
              <w:jc w:val="center"/>
              <w:rPr>
                <w:sz w:val="24"/>
              </w:rPr>
            </w:pPr>
            <w:r>
              <w:rPr>
                <w:sz w:val="24"/>
              </w:rPr>
              <w:t>定性说明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Pr>
          <w:p>
            <w:pPr>
              <w:spacing w:line="360" w:lineRule="auto"/>
              <w:jc w:val="center"/>
              <w:rPr>
                <w:sz w:val="24"/>
                <w:szCs w:val="21"/>
              </w:rPr>
            </w:pPr>
            <w:r>
              <w:rPr>
                <w:rFonts w:hint="eastAsia"/>
                <w:sz w:val="24"/>
                <w:szCs w:val="21"/>
              </w:rPr>
              <w:t>可忽略</w:t>
            </w:r>
          </w:p>
        </w:tc>
        <w:tc>
          <w:tcPr>
            <w:tcW w:w="2095" w:type="dxa"/>
          </w:tcPr>
          <w:p>
            <w:pPr>
              <w:spacing w:line="360" w:lineRule="auto"/>
              <w:jc w:val="center"/>
              <w:rPr>
                <w:sz w:val="24"/>
                <w:szCs w:val="21"/>
              </w:rPr>
            </w:pPr>
            <w:r>
              <w:rPr>
                <w:rFonts w:hint="eastAsia"/>
                <w:sz w:val="24"/>
                <w:szCs w:val="21"/>
              </w:rPr>
              <w:t>S1</w:t>
            </w:r>
          </w:p>
        </w:tc>
        <w:tc>
          <w:tcPr>
            <w:tcW w:w="3591" w:type="dxa"/>
          </w:tcPr>
          <w:p>
            <w:pPr>
              <w:spacing w:line="360" w:lineRule="auto"/>
              <w:jc w:val="center"/>
              <w:rPr>
                <w:sz w:val="24"/>
                <w:szCs w:val="21"/>
              </w:rPr>
            </w:pPr>
            <w:r>
              <w:rPr>
                <w:rFonts w:hint="eastAsia"/>
                <w:sz w:val="24"/>
                <w:szCs w:val="21"/>
              </w:rPr>
              <w:t>轻度伤害或无伤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Pr>
          <w:p>
            <w:pPr>
              <w:spacing w:line="360" w:lineRule="auto"/>
              <w:jc w:val="center"/>
              <w:rPr>
                <w:sz w:val="24"/>
                <w:szCs w:val="21"/>
              </w:rPr>
            </w:pPr>
            <w:r>
              <w:rPr>
                <w:rFonts w:hint="eastAsia"/>
                <w:sz w:val="24"/>
                <w:szCs w:val="21"/>
              </w:rPr>
              <w:t>轻度</w:t>
            </w:r>
          </w:p>
        </w:tc>
        <w:tc>
          <w:tcPr>
            <w:tcW w:w="2095" w:type="dxa"/>
          </w:tcPr>
          <w:p>
            <w:pPr>
              <w:spacing w:line="360" w:lineRule="auto"/>
              <w:jc w:val="center"/>
              <w:rPr>
                <w:sz w:val="24"/>
                <w:szCs w:val="21"/>
              </w:rPr>
            </w:pPr>
            <w:r>
              <w:rPr>
                <w:rFonts w:hint="eastAsia"/>
                <w:sz w:val="24"/>
                <w:szCs w:val="21"/>
              </w:rPr>
              <w:t>S2</w:t>
            </w:r>
          </w:p>
        </w:tc>
        <w:tc>
          <w:tcPr>
            <w:tcW w:w="3591" w:type="dxa"/>
          </w:tcPr>
          <w:p>
            <w:pPr>
              <w:spacing w:line="360" w:lineRule="auto"/>
              <w:jc w:val="center"/>
              <w:rPr>
                <w:sz w:val="24"/>
                <w:szCs w:val="21"/>
              </w:rPr>
            </w:pPr>
            <w:r>
              <w:rPr>
                <w:rFonts w:hint="eastAsia"/>
                <w:sz w:val="24"/>
                <w:szCs w:val="21"/>
              </w:rPr>
              <w:t>中等伤害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Pr>
          <w:p>
            <w:pPr>
              <w:spacing w:line="360" w:lineRule="auto"/>
              <w:jc w:val="center"/>
              <w:rPr>
                <w:sz w:val="24"/>
                <w:szCs w:val="21"/>
              </w:rPr>
            </w:pPr>
            <w:r>
              <w:rPr>
                <w:rFonts w:hint="eastAsia"/>
                <w:sz w:val="24"/>
                <w:szCs w:val="21"/>
              </w:rPr>
              <w:t>中度</w:t>
            </w:r>
          </w:p>
        </w:tc>
        <w:tc>
          <w:tcPr>
            <w:tcW w:w="2095" w:type="dxa"/>
          </w:tcPr>
          <w:p>
            <w:pPr>
              <w:spacing w:line="360" w:lineRule="auto"/>
              <w:jc w:val="center"/>
              <w:rPr>
                <w:sz w:val="24"/>
                <w:szCs w:val="21"/>
              </w:rPr>
            </w:pPr>
            <w:r>
              <w:rPr>
                <w:rFonts w:hint="eastAsia"/>
                <w:sz w:val="24"/>
                <w:szCs w:val="21"/>
              </w:rPr>
              <w:t>S3</w:t>
            </w:r>
          </w:p>
        </w:tc>
        <w:tc>
          <w:tcPr>
            <w:tcW w:w="3591" w:type="dxa"/>
          </w:tcPr>
          <w:p>
            <w:pPr>
              <w:spacing w:line="360" w:lineRule="auto"/>
              <w:jc w:val="center"/>
              <w:rPr>
                <w:sz w:val="24"/>
                <w:szCs w:val="21"/>
              </w:rPr>
            </w:pPr>
            <w:r>
              <w:rPr>
                <w:rFonts w:hint="eastAsia"/>
                <w:sz w:val="24"/>
                <w:szCs w:val="21"/>
              </w:rPr>
              <w:t>严重伤害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842" w:type="dxa"/>
          </w:tcPr>
          <w:p>
            <w:pPr>
              <w:spacing w:line="360" w:lineRule="auto"/>
              <w:jc w:val="center"/>
              <w:rPr>
                <w:sz w:val="24"/>
                <w:szCs w:val="21"/>
              </w:rPr>
            </w:pPr>
            <w:r>
              <w:rPr>
                <w:rFonts w:hint="eastAsia"/>
                <w:sz w:val="24"/>
                <w:szCs w:val="21"/>
              </w:rPr>
              <w:t>致命</w:t>
            </w:r>
          </w:p>
        </w:tc>
        <w:tc>
          <w:tcPr>
            <w:tcW w:w="2095" w:type="dxa"/>
          </w:tcPr>
          <w:p>
            <w:pPr>
              <w:spacing w:line="360" w:lineRule="auto"/>
              <w:jc w:val="center"/>
              <w:rPr>
                <w:sz w:val="24"/>
                <w:szCs w:val="21"/>
              </w:rPr>
            </w:pPr>
            <w:r>
              <w:rPr>
                <w:rFonts w:hint="eastAsia"/>
                <w:sz w:val="24"/>
                <w:szCs w:val="21"/>
              </w:rPr>
              <w:t>S4</w:t>
            </w:r>
          </w:p>
        </w:tc>
        <w:tc>
          <w:tcPr>
            <w:tcW w:w="3591" w:type="dxa"/>
          </w:tcPr>
          <w:p>
            <w:pPr>
              <w:spacing w:line="360" w:lineRule="auto"/>
              <w:jc w:val="center"/>
              <w:rPr>
                <w:sz w:val="24"/>
                <w:szCs w:val="21"/>
              </w:rPr>
            </w:pPr>
            <w:r>
              <w:rPr>
                <w:rFonts w:hint="eastAsia"/>
                <w:sz w:val="24"/>
                <w:szCs w:val="21"/>
              </w:rPr>
              <w:t>死亡</w:t>
            </w:r>
          </w:p>
        </w:tc>
      </w:tr>
    </w:tbl>
    <w:p>
      <w:pPr>
        <w:pStyle w:val="3"/>
        <w:numPr>
          <w:ilvl w:val="1"/>
          <w:numId w:val="7"/>
        </w:numPr>
        <w:rPr>
          <w:rFonts w:ascii="Times New Roman" w:hAnsi="Times New Roman"/>
          <w:sz w:val="24"/>
          <w:szCs w:val="28"/>
        </w:rPr>
      </w:pPr>
      <w:bookmarkStart w:id="29" w:name="_Toc78209927"/>
      <w:bookmarkStart w:id="30" w:name="_Toc283041279"/>
      <w:bookmarkStart w:id="31" w:name="_Toc277082334"/>
      <w:r>
        <w:rPr>
          <w:rFonts w:ascii="Times New Roman" w:hAnsi="Times New Roman"/>
          <w:sz w:val="24"/>
          <w:szCs w:val="28"/>
        </w:rPr>
        <w:t>风险评价</w:t>
      </w:r>
      <w:bookmarkEnd w:id="29"/>
      <w:bookmarkEnd w:id="30"/>
      <w:bookmarkEnd w:id="31"/>
    </w:p>
    <w:p>
      <w:pPr>
        <w:spacing w:line="360" w:lineRule="auto"/>
        <w:ind w:firstLine="480" w:firstLineChars="200"/>
        <w:jc w:val="left"/>
        <w:rPr>
          <w:sz w:val="24"/>
        </w:rPr>
      </w:pPr>
      <w:r>
        <w:rPr>
          <w:sz w:val="24"/>
        </w:rPr>
        <w:t>可使用概率等级和严重度对风险进行综合估计：（风险系数=严重性（S）×可能性(P)）</w:t>
      </w:r>
    </w:p>
    <w:p>
      <w:pPr>
        <w:spacing w:line="360" w:lineRule="auto"/>
        <w:ind w:firstLine="120" w:firstLineChars="50"/>
        <w:jc w:val="center"/>
        <w:rPr>
          <w:sz w:val="24"/>
          <w:szCs w:val="18"/>
        </w:rPr>
      </w:pPr>
      <w:r>
        <w:rPr>
          <w:rFonts w:hint="eastAsia"/>
          <w:sz w:val="24"/>
          <w:szCs w:val="18"/>
        </w:rPr>
        <w:t>表5. 风险评价</w:t>
      </w:r>
    </w:p>
    <w:tbl>
      <w:tblPr>
        <w:tblStyle w:val="36"/>
        <w:tblpPr w:leftFromText="180" w:rightFromText="180" w:vertAnchor="text" w:horzAnchor="margin" w:tblpX="288" w:tblpY="10"/>
        <w:tblW w:w="74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417"/>
        <w:gridCol w:w="1418"/>
        <w:gridCol w:w="1275"/>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trPr>
        <w:tc>
          <w:tcPr>
            <w:tcW w:w="2235" w:type="dxa"/>
            <w:tcBorders>
              <w:bottom w:val="single" w:color="auto" w:sz="4" w:space="0"/>
            </w:tcBorders>
            <w:shd w:val="clear" w:color="auto" w:fill="C0C0C0"/>
            <w:vAlign w:val="center"/>
          </w:tcPr>
          <w:p>
            <w:pPr>
              <w:spacing w:line="360" w:lineRule="auto"/>
              <w:jc w:val="left"/>
              <w:rPr>
                <w:b/>
                <w:sz w:val="24"/>
                <w:szCs w:val="21"/>
              </w:rPr>
            </w:pPr>
            <w:bookmarkStart w:id="43" w:name="_GoBack"/>
            <w:r>
              <w:rPr>
                <w:b/>
                <w:sz w:val="24"/>
                <w:szCs w:val="21"/>
              </w:rPr>
              <mc:AlternateContent>
                <mc:Choice Requires="wpg">
                  <w:drawing>
                    <wp:anchor distT="0" distB="0" distL="114300" distR="114300" simplePos="0" relativeHeight="251660288" behindDoc="0" locked="0" layoutInCell="1" allowOverlap="1">
                      <wp:simplePos x="0" y="0"/>
                      <wp:positionH relativeFrom="column">
                        <wp:posOffset>-67310</wp:posOffset>
                      </wp:positionH>
                      <wp:positionV relativeFrom="paragraph">
                        <wp:posOffset>1270</wp:posOffset>
                      </wp:positionV>
                      <wp:extent cx="1400175" cy="401955"/>
                      <wp:effectExtent l="10160" t="12700" r="8890" b="13970"/>
                      <wp:wrapNone/>
                      <wp:docPr id="2052910825" name="__TH_G12五号18"/>
                      <wp:cNvGraphicFramePr/>
                      <a:graphic xmlns:a="http://schemas.openxmlformats.org/drawingml/2006/main">
                        <a:graphicData uri="http://schemas.microsoft.com/office/word/2010/wordprocessingGroup">
                          <wpg:wgp>
                            <wpg:cNvGrpSpPr/>
                            <wpg:grpSpPr>
                              <a:xfrm>
                                <a:off x="0" y="0"/>
                                <a:ext cx="1400175" cy="401955"/>
                                <a:chOff x="1772" y="12330"/>
                                <a:chExt cx="2542" cy="633"/>
                              </a:xfrm>
                            </wpg:grpSpPr>
                            <wps:wsp>
                              <wps:cNvPr id="867624916" name="__TH_L12"/>
                              <wps:cNvCnPr>
                                <a:cxnSpLocks noChangeShapeType="1"/>
                              </wps:cNvCnPr>
                              <wps:spPr bwMode="auto">
                                <a:xfrm>
                                  <a:off x="1772" y="12330"/>
                                  <a:ext cx="2542" cy="633"/>
                                </a:xfrm>
                                <a:prstGeom prst="line">
                                  <a:avLst/>
                                </a:prstGeom>
                                <a:noFill/>
                                <a:ln w="6350">
                                  <a:solidFill>
                                    <a:srgbClr val="000000"/>
                                  </a:solidFill>
                                  <a:round/>
                                </a:ln>
                              </wps:spPr>
                              <wps:bodyPr/>
                            </wps:wsp>
                            <wps:wsp>
                              <wps:cNvPr id="418036210" name="__TH_B1113"/>
                              <wps:cNvSpPr txBox="1">
                                <a:spLocks noChangeArrowheads="1"/>
                              </wps:cNvSpPr>
                              <wps:spPr bwMode="auto">
                                <a:xfrm>
                                  <a:off x="3035" y="12355"/>
                                  <a:ext cx="252" cy="262"/>
                                </a:xfrm>
                                <a:prstGeom prst="rect">
                                  <a:avLst/>
                                </a:prstGeom>
                                <a:noFill/>
                                <a:ln>
                                  <a:noFill/>
                                </a:ln>
                              </wps:spPr>
                              <wps:txbx>
                                <w:txbxContent>
                                  <w:p>
                                    <w:pPr>
                                      <w:snapToGrid w:val="0"/>
                                    </w:pPr>
                                    <w:r>
                                      <w:rPr>
                                        <w:rFonts w:hint="eastAsia"/>
                                      </w:rPr>
                                      <w:t>严</w:t>
                                    </w:r>
                                  </w:p>
                                </w:txbxContent>
                              </wps:txbx>
                              <wps:bodyPr rot="0" vert="horz" wrap="square" lIns="0" tIns="0" rIns="0" bIns="0" anchor="t" anchorCtr="0" upright="1">
                                <a:noAutofit/>
                              </wps:bodyPr>
                            </wps:wsp>
                            <wps:wsp>
                              <wps:cNvPr id="798313220" name="__TH_B1214"/>
                              <wps:cNvSpPr txBox="1">
                                <a:spLocks noChangeArrowheads="1"/>
                              </wps:cNvSpPr>
                              <wps:spPr bwMode="auto">
                                <a:xfrm>
                                  <a:off x="3445" y="12457"/>
                                  <a:ext cx="253" cy="263"/>
                                </a:xfrm>
                                <a:prstGeom prst="rect">
                                  <a:avLst/>
                                </a:prstGeom>
                                <a:noFill/>
                                <a:ln>
                                  <a:noFill/>
                                </a:ln>
                              </wps:spPr>
                              <wps:txbx>
                                <w:txbxContent>
                                  <w:p>
                                    <w:pPr>
                                      <w:snapToGrid w:val="0"/>
                                    </w:pPr>
                                    <w:r>
                                      <w:rPr>
                                        <w:rFonts w:hint="eastAsia"/>
                                      </w:rPr>
                                      <w:t>重</w:t>
                                    </w:r>
                                  </w:p>
                                </w:txbxContent>
                              </wps:txbx>
                              <wps:bodyPr rot="0" vert="horz" wrap="square" lIns="0" tIns="0" rIns="0" bIns="0" anchor="t" anchorCtr="0" upright="1">
                                <a:noAutofit/>
                              </wps:bodyPr>
                            </wps:wsp>
                            <wps:wsp>
                              <wps:cNvPr id="812210825" name="__TH_B1315"/>
                              <wps:cNvSpPr txBox="1">
                                <a:spLocks noChangeArrowheads="1"/>
                              </wps:cNvSpPr>
                              <wps:spPr bwMode="auto">
                                <a:xfrm>
                                  <a:off x="3856" y="12559"/>
                                  <a:ext cx="253" cy="263"/>
                                </a:xfrm>
                                <a:prstGeom prst="rect">
                                  <a:avLst/>
                                </a:prstGeom>
                                <a:noFill/>
                                <a:ln>
                                  <a:noFill/>
                                </a:ln>
                              </wps:spPr>
                              <wps:txbx>
                                <w:txbxContent>
                                  <w:p>
                                    <w:pPr>
                                      <w:snapToGrid w:val="0"/>
                                    </w:pPr>
                                    <w:r>
                                      <w:rPr>
                                        <w:rFonts w:hint="eastAsia"/>
                                      </w:rPr>
                                      <w:t>度</w:t>
                                    </w:r>
                                  </w:p>
                                </w:txbxContent>
                              </wps:txbx>
                              <wps:bodyPr rot="0" vert="horz" wrap="square" lIns="0" tIns="0" rIns="0" bIns="0" anchor="t" anchorCtr="0" upright="1">
                                <a:noAutofit/>
                              </wps:bodyPr>
                            </wps:wsp>
                            <wps:wsp>
                              <wps:cNvPr id="1207161760" name="__TH_B2116"/>
                              <wps:cNvSpPr txBox="1">
                                <a:spLocks noChangeArrowheads="1"/>
                              </wps:cNvSpPr>
                              <wps:spPr bwMode="auto">
                                <a:xfrm>
                                  <a:off x="2016" y="12548"/>
                                  <a:ext cx="253" cy="262"/>
                                </a:xfrm>
                                <a:prstGeom prst="rect">
                                  <a:avLst/>
                                </a:prstGeom>
                                <a:noFill/>
                                <a:ln>
                                  <a:noFill/>
                                </a:ln>
                              </wps:spPr>
                              <wps:txbx>
                                <w:txbxContent>
                                  <w:p>
                                    <w:pPr>
                                      <w:snapToGrid w:val="0"/>
                                    </w:pPr>
                                    <w:r>
                                      <w:rPr>
                                        <w:rFonts w:hint="eastAsia"/>
                                      </w:rPr>
                                      <w:t>概</w:t>
                                    </w:r>
                                  </w:p>
                                </w:txbxContent>
                              </wps:txbx>
                              <wps:bodyPr rot="0" vert="horz" wrap="square" lIns="0" tIns="0" rIns="0" bIns="0" anchor="t" anchorCtr="0" upright="1">
                                <a:noAutofit/>
                              </wps:bodyPr>
                            </wps:wsp>
                            <wps:wsp>
                              <wps:cNvPr id="1193833786" name="__TH_B2217"/>
                              <wps:cNvSpPr txBox="1">
                                <a:spLocks noChangeArrowheads="1"/>
                              </wps:cNvSpPr>
                              <wps:spPr bwMode="auto">
                                <a:xfrm>
                                  <a:off x="2495" y="12667"/>
                                  <a:ext cx="253" cy="262"/>
                                </a:xfrm>
                                <a:prstGeom prst="rect">
                                  <a:avLst/>
                                </a:prstGeom>
                                <a:noFill/>
                                <a:ln>
                                  <a:noFill/>
                                </a:ln>
                              </wps:spPr>
                              <wps:txbx>
                                <w:txbxContent>
                                  <w:p>
                                    <w:pPr>
                                      <w:snapToGrid w:val="0"/>
                                    </w:pPr>
                                    <w:r>
                                      <w:rPr>
                                        <w:rFonts w:hint="eastAsia"/>
                                      </w:rPr>
                                      <w:t>率</w:t>
                                    </w:r>
                                  </w:p>
                                </w:txbxContent>
                              </wps:txbx>
                              <wps:bodyPr rot="0" vert="horz" wrap="square" lIns="0" tIns="0" rIns="0" bIns="0" anchor="t" anchorCtr="0" upright="1">
                                <a:noAutofit/>
                              </wps:bodyPr>
                            </wps:wsp>
                          </wpg:wgp>
                        </a:graphicData>
                      </a:graphic>
                    </wp:anchor>
                  </w:drawing>
                </mc:Choice>
                <mc:Fallback>
                  <w:pict>
                    <v:group id="__TH_G12五号18" o:spid="_x0000_s1026" o:spt="203" style="position:absolute;left:0pt;margin-left:-5.3pt;margin-top:0.1pt;height:31.65pt;width:110.25pt;z-index:251660288;mso-width-relative:page;mso-height-relative:page;" coordorigin="1772,12330" coordsize="2542,633" o:gfxdata="UEsDBAoAAAAAAIdO4kAAAAAAAAAAAAAAAAAEAAAAZHJzL1BLAwQUAAAACACHTuJA1nSFftcAAAAH&#10;AQAADwAAAGRycy9kb3ducmV2LnhtbE2OwWrDMBBE74X+g9hCb4lkh5jGtRxKaHsKhSaF0tvG2tgm&#10;1spYip38fdVTcxxmePOK9cV2YqTBt441JHMFgrhypuVaw9f+bfYEwgdkg51j0nAlD+vy/q7A3LiJ&#10;P2nchVpECPscNTQh9LmUvmrIop+7njh2RzdYDDEOtTQDThFuO5kqlUmLLceHBnvaNFSddmer4X3C&#10;6WWRvI7b03Fz/dkvP763CWn9+JCoZxCBLuF/DH/6UR3K6HRwZzZedBpmicriVEMKItapWq1AHDRk&#10;iyXIspC3/uUvUEsDBBQAAAAIAIdO4kAxKaejmwMAANgPAAAOAAAAZHJzL2Uyb0RvYy54bWztV8tu&#10;4zYU3RfoPxDcNxKpp4U4g0nSSQukMwGSrgNaoh6oRKokHTn9iW76LwX6PTP/0UtKsmNPBghmUKOL&#10;eCFTpHjJe87hIXn6ZtO16IEr3UixxOTEx4iLXBaNqJb417t3P6QYacNEwVop+BI/co3fnH3/3enQ&#10;Z5zKWrYFVwiCCJ0N/RLXxvSZ5+m85h3TJ7LnAhpLqTpm4FVVXqHYANG71qO+H3uDVEWvZM61htrL&#10;sRFPEdVLAsqybHJ+KfN1x4UZoyreMgMp6brpNT5zsy1LnpsPZam5Qe0SQ6bGPWEQKK/s0zs7ZVml&#10;WF83+TQF9pIpHOTUsUbAoNtQl8wwtFbNZ6G6JldSy9Kc5LLzxkQcIpAF8Q+wuVJy3btcqmyo+i3o&#10;QNQB6l8dNn//cKNQUywx9SO6IH5KI4wE64D5+/u7n+6vCP34z1+f/vybpBasoa8y6HOl+tv+Rk0V&#10;1fhm89+UqrP/kBnaOJgftzDzjUE5VJLQ90kCw+TQFvpkEUUjD3kNZNluJEkoRtBKaBBMJOX1j1N/&#10;GoXQajvHQWB7evO4np3edjZDDwrVO9j0t8F2W7OeOza0hWCCLY2TmIYLEu+hdk3oiJb79ELcKAtK&#10;vhG3/bXMf9NIyIuaiYq7oHePPcBNXCp20hB97GJfNOCMVsMvsoBv2NpIp7MDnJ8DbIb7y3CxrFfa&#10;XHHZIVtY4rYRNkOWsYdrbUZk509stZDvmraFepa1Ag2WgMh3HbRsm8I22jatqtVFq9ADs6vO/Saa&#10;9j4DdYtiHKQVwOKcrVWZzlayeHQKc/XA41j9nxMaktQPYkrAIZ4sg3NCiNPaxI9VPzKbc2nVOiJw&#10;wOxbpeRQc1aA7PaotV3HXF5EbeAHsFTGtTAvlB2100KgsdPbdiF8xqwCJ3wxs3tUQ8xn2DGb1Qao&#10;2xGFlBzNFbYWKNRS/YHRAMa6xPr3NVMco/ZnAVhYF54Lai6s5gITOXRdYoPRWLwwo1uve9VUNUQe&#10;0RbyLSyFsnEi3c1iUtHx1JIs0oAElB6qhZLwiQEcUS1hOKsljBI7BZbt1BKMtknjfdt8VcuRvCUl&#10;FIzlcIs9JwFxO+DxvSWNYN9y3hJFi1e1/L+8hVA/ITFJ4gNzoQROG5P5wlHheOYCR9StXEJ3HHzW&#10;XF63IntyOfpWRMgiSIMgSfePoudgOW4jOLq7wLF43ovi+Mt70atcDuXirjFw4XM3m+lyam+UT9+d&#10;vHYX8rN/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AsGAABbQ29udGVudF9UeXBlc10ueG1sUEsBAhQACgAAAAAAh07iQAAAAAAAAAAAAAAAAAYA&#10;AAAAAAAAAAAQAAAA7QQAAF9yZWxzL1BLAQIUABQAAAAIAIdO4kCKFGY80QAAAJQBAAALAAAAAAAA&#10;AAEAIAAAABEFAABfcmVscy8ucmVsc1BLAQIUAAoAAAAAAIdO4kAAAAAAAAAAAAAAAAAEAAAAAAAA&#10;AAAAEAAAAAAAAABkcnMvUEsBAhQAFAAAAAgAh07iQNZ0hX7XAAAABwEAAA8AAAAAAAAAAQAgAAAA&#10;IgAAAGRycy9kb3ducmV2LnhtbFBLAQIUABQAAAAIAIdO4kAxKaejmwMAANgPAAAOAAAAAAAAAAEA&#10;IAAAACYBAABkcnMvZTJvRG9jLnhtbFBLBQYAAAAABgAGAFkBAAAzBwAAAAA=&#10;">
                      <o:lock v:ext="edit" aspectratio="f"/>
                      <v:line id="__TH_L12" o:spid="_x0000_s1026" o:spt="20" style="position:absolute;left:1772;top:12330;height:633;width:2542;" filled="f" stroked="t" coordsize="21600,21600" o:gfxdata="UEsDBAoAAAAAAIdO4kAAAAAAAAAAAAAAAAAEAAAAZHJzL1BLAwQUAAAACACHTuJA4COd68EAAADi&#10;AAAADwAAAGRycy9kb3ducmV2LnhtbEWPQUvEMBSE74L/ITzBm5tksXWtm92DUNmLB3fF86N5tsXm&#10;pSSxWf31RhA8DjPzDbPdn90kFgpx9GxArxQI4s7bkXsDr6f2ZgMiJmSLk2cy8EUR9rvLiy021md+&#10;oeWYelEgHBs0MKQ0N1LGbiCHceVn4uK9++AwFRl6aQPmAneTXCtVS4cjl4UBZ3ocqPs4fjoDrNPb&#10;lHPKS/iunipdtQf13BpzfaXVA4hE5/Qf/msfrIFNfVevb+91Db+Xyh2Qux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4COd&#10;68EAAADiAAAADwAAAAAAAAABACAAAAAiAAAAZHJzL2Rvd25yZXYueG1sUEsBAhQAFAAAAAgAh07i&#10;QDMvBZ47AAAAOQAAABAAAAAAAAAAAQAgAAAAEAEAAGRycy9zaGFwZXhtbC54bWxQSwUGAAAAAAYA&#10;BgBbAQAAugMAAAAA&#10;">
                        <v:fill on="f" focussize="0,0"/>
                        <v:stroke weight="0.5pt" color="#000000" joinstyle="round"/>
                        <v:imagedata o:title=""/>
                        <o:lock v:ext="edit" aspectratio="f"/>
                      </v:line>
                      <v:shape id="__TH_B1113" o:spid="_x0000_s1026" o:spt="202" type="#_x0000_t202" style="position:absolute;left:3035;top:12355;height:262;width:252;" filled="f" stroked="f" coordsize="21600,21600" o:gfxdata="UEsDBAoAAAAAAIdO4kAAAAAAAAAAAAAAAAAEAAAAZHJzL1BLAwQUAAAACACHTuJAfp+EL8MAAADi&#10;AAAADwAAAGRycy9kb3ducmV2LnhtbEWPXWvCMBSG7wf7D+EMdjeTOinaGWWMDQRBVuuFl2fNsQ02&#10;J12T+fHvzcXAy5f3i2e+vLhOnGgI1rOGbKRAENfeWG407KqvlymIEJENdp5Jw5UCLBePD3MsjD9z&#10;SadtbEQa4VCghjbGvpAy1C05DCPfEyfv4AeHMcmhkWbAcxp3nRwrlUuHltNDiz19tFQft39Ow/ue&#10;y0/7u/n5Lg+lraqZ4nV+1Pr5KVNvICJd4j38314ZDZNsql7zcZYgElLCAbm4AV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B+&#10;n4QvwwAAAOIAAAAPAAAAAAAAAAEAIAAAACIAAABkcnMvZG93bnJldi54bWxQSwECFAAUAAAACACH&#10;TuJAMy8FnjsAAAA5AAAAEAAAAAAAAAABACAAAAASAQAAZHJzL3NoYXBleG1sLnhtbFBLBQYAAAAA&#10;BgAGAFsBAAC8AwAAAAA=&#10;">
                        <v:fill on="f" focussize="0,0"/>
                        <v:stroke on="f"/>
                        <v:imagedata o:title=""/>
                        <o:lock v:ext="edit" aspectratio="f"/>
                        <v:textbox inset="0mm,0mm,0mm,0mm">
                          <w:txbxContent>
                            <w:p>
                              <w:pPr>
                                <w:snapToGrid w:val="0"/>
                              </w:pPr>
                              <w:r>
                                <w:rPr>
                                  <w:rFonts w:hint="eastAsia"/>
                                </w:rPr>
                                <w:t>严</w:t>
                              </w:r>
                            </w:p>
                          </w:txbxContent>
                        </v:textbox>
                      </v:shape>
                      <v:shape id="__TH_B1214" o:spid="_x0000_s1026" o:spt="202" type="#_x0000_t202" style="position:absolute;left:3445;top:12457;height:263;width:253;" filled="f" stroked="f" coordsize="21600,21600" o:gfxdata="UEsDBAoAAAAAAIdO4kAAAAAAAAAAAAAAAAAEAAAAZHJzL1BLAwQUAAAACACHTuJAk2P708MAAADi&#10;AAAADwAAAGRycy9kb3ducmV2LnhtbEWPXWvCMBSG7wf7D+EMvJtJKzjtjDJkA0EYq/Vil2fNsQ02&#10;J7WJH/v3y8XAy5f3i2exurlOXGgI1rOGbKxAENfeWG407KuP5xmIEJENdp5Jwy8FWC0fHxZYGH/l&#10;ki672Ig0wqFADW2MfSFlqFtyGMa+J07ewQ8OY5JDI82A1zTuOpkrNZUOLaeHFntat1Qfd2en4e2b&#10;y3d7+vz5Kg+lraq54u30qPXoKVOvICLd4j38394YDS/z2SSb5HmCSEgJB+TyD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CT&#10;Y/vTwwAAAOIAAAAPAAAAAAAAAAEAIAAAACIAAABkcnMvZG93bnJldi54bWxQSwECFAAUAAAACACH&#10;TuJAMy8FnjsAAAA5AAAAEAAAAAAAAAABACAAAAASAQAAZHJzL3NoYXBleG1sLnhtbFBLBQYAAAAA&#10;BgAGAFsBAAC8AwAAAAA=&#10;">
                        <v:fill on="f" focussize="0,0"/>
                        <v:stroke on="f"/>
                        <v:imagedata o:title=""/>
                        <o:lock v:ext="edit" aspectratio="f"/>
                        <v:textbox inset="0mm,0mm,0mm,0mm">
                          <w:txbxContent>
                            <w:p>
                              <w:pPr>
                                <w:snapToGrid w:val="0"/>
                              </w:pPr>
                              <w:r>
                                <w:rPr>
                                  <w:rFonts w:hint="eastAsia"/>
                                </w:rPr>
                                <w:t>重</w:t>
                              </w:r>
                            </w:p>
                          </w:txbxContent>
                        </v:textbox>
                      </v:shape>
                      <v:shape id="__TH_B1315" o:spid="_x0000_s1026" o:spt="202" type="#_x0000_t202" style="position:absolute;left:3856;top:12559;height:263;width:253;" filled="f" stroked="f" coordsize="21600,21600" o:gfxdata="UEsDBAoAAAAAAIdO4kAAAAAAAAAAAAAAAAAEAAAAZHJzL1BLAwQUAAAACACHTuJACccPaMQAAADi&#10;AAAADwAAAGRycy9kb3ducmV2LnhtbEWPQWvCQBSE7wX/w/IKvdXdBJQ0dZUiLQiFYowHj6/ZZ7KY&#10;fZtmt2r/vVso9DjMzDfMYnV1vTjTGKxnDdlUgSBuvLHcatjXb48FiBCRDfaeScMPBVgtJ3cLLI2/&#10;cEXnXWxFgnAoUUMX41BKGZqOHIapH4iTd/Sjw5jk2Eoz4iXBXS9zpebSoeW00OFA646a0+7baXg5&#10;cPVqvz4+t9WxsnX9pPh9ftL64T5TzyAiXeN/+K+9MRqKLM8zVeQz+L2U7oBc3gB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CccPaMQAAADiAAAADwAAAAAAAAABACAAAAAiAAAAZHJzL2Rvd25yZXYueG1sUEsBAhQAFAAAAAgA&#10;h07iQDMvBZ47AAAAOQAAABAAAAAAAAAAAQAgAAAAEwEAAGRycy9zaGFwZXhtbC54bWxQSwUGAAAA&#10;AAYABgBbAQAAvQMAAAAA&#10;">
                        <v:fill on="f" focussize="0,0"/>
                        <v:stroke on="f"/>
                        <v:imagedata o:title=""/>
                        <o:lock v:ext="edit" aspectratio="f"/>
                        <v:textbox inset="0mm,0mm,0mm,0mm">
                          <w:txbxContent>
                            <w:p>
                              <w:pPr>
                                <w:snapToGrid w:val="0"/>
                              </w:pPr>
                              <w:r>
                                <w:rPr>
                                  <w:rFonts w:hint="eastAsia"/>
                                </w:rPr>
                                <w:t>度</w:t>
                              </w:r>
                            </w:p>
                          </w:txbxContent>
                        </v:textbox>
                      </v:shape>
                      <v:shape id="__TH_B2116" o:spid="_x0000_s1026" o:spt="202" type="#_x0000_t202" style="position:absolute;left:2016;top:12548;height:262;width:253;" filled="f" stroked="f" coordsize="21600,21600" o:gfxdata="UEsDBAoAAAAAAIdO4kAAAAAAAAAAAAAAAAAEAAAAZHJzL1BLAwQUAAAACACHTuJAzPPKYsQAAADj&#10;AAAADwAAAGRycy9kb3ducmV2LnhtbEWPQU/DMAyF70j8h8iTuLGkO3SsLJsmBBISEqIrB46m8dpo&#10;jVOasI1/jw9IHG0/v/e+9fYSBnWiKfnIFoq5AUXcRue5s/DePN3egUoZ2eEQmSz8UILt5vpqjZWL&#10;Z67ptM+dEhNOFVrocx4rrVPbU8A0jyOx3A5xCphlnDrtJjyLeRj0wphSB/QsCT2O9NBTe9x/Bwu7&#10;D64f/dfr51t9qH3TrAy/lEdrb2aFuQeV6ZL/xX/fz07qL8yyKItlKRTCJAvQm19QSwMEFAAAAAgA&#10;h07iQDMvBZ47AAAAOQAAABAAAABkcnMvc2hhcGV4bWwueG1ss7GvyM1RKEstKs7Mz7NVMtQzUFJI&#10;zUvOT8nMS7dVCg1x07VQUiguScxLSczJz0u1VapMLVayt+PlAgBQSwMECgAAAAAAh07iQAAAAAAA&#10;AAAAAAAAAAYAAABfcmVscy9QSwMEFAAAAAgAh07iQNVcJijMAAAAjwEAAAsAAABfcmVscy8ucmVs&#10;c6WQsWoDMQyG90DfwWjv+ZKhlBBftkLWkEJXYevuTM6Wscw1efu4lEIvZMugQb/Q9wnt9pcwqZmy&#10;eI4G1k0LiqJl5+Ng4PP08foOSgpGhxNHMnAlgX33stodacJSl2T0SVSlRDEwlpK2WosdKaA0nCjW&#10;Sc85YKltHnRCe8aB9KZt33T+z4BuwVQHZyAf3AbU6Zqq+Y4dvM0s3JfGctDc994+omoZMdFXmCoG&#10;80DFgMvym9bTmlqgH5vXT5odf8cjzUvxT5hp/vPqxRu7G1BLAwQUAAAACACHTuJAWuMRZvcAAADi&#10;AQAAEwAAAFtDb250ZW50X1R5cGVzXS54bWyVkU1PxCAQhu8m/gcyV9NSPRhjSvdg9ahG1x8wgWlL&#10;tgXCYN3999L9uBjXxCPMvM/7BOrVdhrFTJGtdwquywoEOe2Ndb2Cj/VTcQeCEzqDo3ekYEcMq+by&#10;ol7vArHIaccKhpTCvZSsB5qQSx/I5Unn44QpH2MvA+oN9iRvqupWau8SuVSkhQFN3VKHn2MSj9t8&#10;fTCJNDKIh8Pi0qUAQxitxpRN5ezMj5bi2FDm5H6HBxv4KmuA/LVhmZwvOOZe8tNEa0i8YkzPOGUN&#10;aSJL479cpLn8G7JYTlz4rrOayjZym2NvNJ+sztF5wEAZ/V/8+5I7weX+h5pvUEsBAhQAFAAAAAgA&#10;h07iQFrjEWb3AAAA4gEAABMAAAAAAAAAAQAgAAAAlQIAAFtDb250ZW50X1R5cGVzXS54bWxQSwEC&#10;FAAKAAAAAACHTuJAAAAAAAAAAAAAAAAABgAAAAAAAAAAABAAAAB8AQAAX3JlbHMvUEsBAhQAFAAA&#10;AAgAh07iQNVcJijMAAAAjwEAAAsAAAAAAAAAAQAgAAAAoAEAAF9yZWxzLy5yZWxzUEsBAhQACgAA&#10;AAAAh07iQAAAAAAAAAAAAAAAAAQAAAAAAAAAAAAQAAAAAAAAAGRycy9QSwECFAAUAAAACACHTuJA&#10;zPPKYsQAAADjAAAADwAAAAAAAAABACAAAAAiAAAAZHJzL2Rvd25yZXYueG1sUEsBAhQAFAAAAAgA&#10;h07iQDMvBZ47AAAAOQAAABAAAAAAAAAAAQAgAAAAEwEAAGRycy9zaGFwZXhtbC54bWxQSwUGAAAA&#10;AAYABgBbAQAAvQMAAAAA&#10;">
                        <v:fill on="f" focussize="0,0"/>
                        <v:stroke on="f"/>
                        <v:imagedata o:title=""/>
                        <o:lock v:ext="edit" aspectratio="f"/>
                        <v:textbox inset="0mm,0mm,0mm,0mm">
                          <w:txbxContent>
                            <w:p>
                              <w:pPr>
                                <w:snapToGrid w:val="0"/>
                              </w:pPr>
                              <w:r>
                                <w:rPr>
                                  <w:rFonts w:hint="eastAsia"/>
                                </w:rPr>
                                <w:t>概</w:t>
                              </w:r>
                            </w:p>
                          </w:txbxContent>
                        </v:textbox>
                      </v:shape>
                      <v:shape id="__TH_B2217" o:spid="_x0000_s1026" o:spt="202" type="#_x0000_t202" style="position:absolute;left:2495;top:12667;height:262;width:253;" filled="f" stroked="f" coordsize="21600,21600" o:gfxdata="UEsDBAoAAAAAAIdO4kAAAAAAAAAAAAAAAAAEAAAAZHJzL1BLAwQUAAAACACHTuJA17U6vsEAAADj&#10;AAAADwAAAGRycy9kb3ducmV2LnhtbEVPX0vDMBB/F/wO4QTfXFILtavLhsgGg4HY1Qcfz+bWhjWX&#10;2sRtfnsjCD7e7/8tVhc3iBNNwXrWkM0UCOLWG8udhrdmc1eCCBHZ4OCZNHxTgNXy+mqBlfFnrum0&#10;j51IIRwq1NDHOFZShrYnh2HmR+LEHfzkMKZz6qSZ8JzC3SDvlSqkQ8upoceRnntqj/svp+Hpneu1&#10;/Xz5eK0PtW2aueJdcdT69iZTjyAiXeK/+M+9NWl+Ns/LPH8oC/j9KQEglz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17U6&#10;vsEAAADjAAAADwAAAAAAAAABACAAAAAiAAAAZHJzL2Rvd25yZXYueG1sUEsBAhQAFAAAAAgAh07i&#10;QDMvBZ47AAAAOQAAABAAAAAAAAAAAQAgAAAAEAEAAGRycy9zaGFwZXhtbC54bWxQSwUGAAAAAAYA&#10;BgBbAQAAugMAAAAA&#10;">
                        <v:fill on="f" focussize="0,0"/>
                        <v:stroke on="f"/>
                        <v:imagedata o:title=""/>
                        <o:lock v:ext="edit" aspectratio="f"/>
                        <v:textbox inset="0mm,0mm,0mm,0mm">
                          <w:txbxContent>
                            <w:p>
                              <w:pPr>
                                <w:snapToGrid w:val="0"/>
                              </w:pPr>
                              <w:r>
                                <w:rPr>
                                  <w:rFonts w:hint="eastAsia"/>
                                </w:rPr>
                                <w:t>率</w:t>
                              </w:r>
                            </w:p>
                          </w:txbxContent>
                        </v:textbox>
                      </v:shape>
                    </v:group>
                  </w:pict>
                </mc:Fallback>
              </mc:AlternateContent>
            </w:r>
            <w:bookmarkEnd w:id="43"/>
          </w:p>
        </w:tc>
        <w:tc>
          <w:tcPr>
            <w:tcW w:w="1417" w:type="dxa"/>
            <w:shd w:val="clear" w:color="auto" w:fill="C0C0C0"/>
            <w:vAlign w:val="center"/>
          </w:tcPr>
          <w:p>
            <w:pPr>
              <w:spacing w:line="360" w:lineRule="auto"/>
              <w:jc w:val="left"/>
              <w:rPr>
                <w:b/>
                <w:sz w:val="24"/>
                <w:szCs w:val="21"/>
              </w:rPr>
            </w:pPr>
            <w:r>
              <w:rPr>
                <w:b/>
                <w:sz w:val="24"/>
                <w:szCs w:val="21"/>
              </w:rPr>
              <w:t>S4灾难性</w:t>
            </w:r>
          </w:p>
        </w:tc>
        <w:tc>
          <w:tcPr>
            <w:tcW w:w="1418" w:type="dxa"/>
            <w:shd w:val="clear" w:color="auto" w:fill="C0C0C0"/>
            <w:vAlign w:val="center"/>
          </w:tcPr>
          <w:p>
            <w:pPr>
              <w:spacing w:line="360" w:lineRule="auto"/>
              <w:jc w:val="left"/>
              <w:rPr>
                <w:b/>
                <w:sz w:val="24"/>
                <w:szCs w:val="21"/>
              </w:rPr>
            </w:pPr>
            <w:r>
              <w:rPr>
                <w:b/>
                <w:sz w:val="24"/>
                <w:szCs w:val="21"/>
              </w:rPr>
              <w:t>S3致命</w:t>
            </w:r>
          </w:p>
        </w:tc>
        <w:tc>
          <w:tcPr>
            <w:tcW w:w="1275" w:type="dxa"/>
            <w:shd w:val="clear" w:color="auto" w:fill="C0C0C0"/>
            <w:vAlign w:val="center"/>
          </w:tcPr>
          <w:p>
            <w:pPr>
              <w:spacing w:line="360" w:lineRule="auto"/>
              <w:jc w:val="left"/>
              <w:rPr>
                <w:b/>
                <w:sz w:val="24"/>
                <w:szCs w:val="21"/>
              </w:rPr>
            </w:pPr>
            <w:r>
              <w:rPr>
                <w:b/>
                <w:sz w:val="24"/>
                <w:szCs w:val="21"/>
              </w:rPr>
              <w:t>S2中度</w:t>
            </w:r>
          </w:p>
        </w:tc>
        <w:tc>
          <w:tcPr>
            <w:tcW w:w="1134" w:type="dxa"/>
            <w:shd w:val="clear" w:color="auto" w:fill="C0C0C0"/>
            <w:vAlign w:val="center"/>
          </w:tcPr>
          <w:p>
            <w:pPr>
              <w:spacing w:line="360" w:lineRule="auto"/>
              <w:jc w:val="left"/>
              <w:rPr>
                <w:b/>
                <w:sz w:val="24"/>
                <w:szCs w:val="21"/>
              </w:rPr>
            </w:pPr>
            <w:r>
              <w:rPr>
                <w:b/>
                <w:sz w:val="24"/>
                <w:szCs w:val="21"/>
              </w:rPr>
              <w:t>S1轻度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35" w:type="dxa"/>
            <w:shd w:val="clear" w:color="auto" w:fill="C0C0C0"/>
          </w:tcPr>
          <w:p>
            <w:pPr>
              <w:spacing w:line="360" w:lineRule="auto"/>
              <w:jc w:val="left"/>
              <w:rPr>
                <w:b/>
                <w:sz w:val="24"/>
                <w:szCs w:val="21"/>
              </w:rPr>
            </w:pPr>
            <w:r>
              <w:rPr>
                <w:b/>
                <w:sz w:val="24"/>
                <w:szCs w:val="21"/>
              </w:rPr>
              <w:t>P6</w:t>
            </w:r>
            <w:r>
              <w:rPr>
                <w:rFonts w:hint="eastAsia"/>
                <w:b/>
                <w:sz w:val="24"/>
                <w:szCs w:val="21"/>
              </w:rPr>
              <w:t xml:space="preserve"> </w:t>
            </w:r>
            <w:r>
              <w:rPr>
                <w:b/>
                <w:sz w:val="24"/>
                <w:szCs w:val="21"/>
              </w:rPr>
              <w:t>经常</w:t>
            </w:r>
          </w:p>
        </w:tc>
        <w:tc>
          <w:tcPr>
            <w:tcW w:w="1417" w:type="dxa"/>
          </w:tcPr>
          <w:p>
            <w:pPr>
              <w:spacing w:line="360" w:lineRule="auto"/>
              <w:jc w:val="left"/>
              <w:rPr>
                <w:sz w:val="24"/>
              </w:rPr>
            </w:pPr>
            <w:r>
              <w:rPr>
                <w:rFonts w:hint="eastAsia"/>
                <w:sz w:val="24"/>
                <w:szCs w:val="21"/>
              </w:rPr>
              <w:t>N/ACC</w:t>
            </w:r>
          </w:p>
        </w:tc>
        <w:tc>
          <w:tcPr>
            <w:tcW w:w="1418" w:type="dxa"/>
            <w:vAlign w:val="center"/>
          </w:tcPr>
          <w:p>
            <w:pPr>
              <w:spacing w:line="360" w:lineRule="auto"/>
              <w:jc w:val="left"/>
              <w:rPr>
                <w:sz w:val="24"/>
                <w:szCs w:val="21"/>
              </w:rPr>
            </w:pPr>
            <w:r>
              <w:rPr>
                <w:rFonts w:hint="eastAsia"/>
                <w:sz w:val="24"/>
                <w:szCs w:val="21"/>
              </w:rPr>
              <w:t>N/ACC</w:t>
            </w:r>
          </w:p>
        </w:tc>
        <w:tc>
          <w:tcPr>
            <w:tcW w:w="1275" w:type="dxa"/>
            <w:vAlign w:val="center"/>
          </w:tcPr>
          <w:p>
            <w:pPr>
              <w:spacing w:line="360" w:lineRule="auto"/>
              <w:jc w:val="left"/>
              <w:rPr>
                <w:sz w:val="24"/>
                <w:szCs w:val="21"/>
              </w:rPr>
            </w:pPr>
            <w:r>
              <w:rPr>
                <w:rFonts w:hint="eastAsia"/>
                <w:sz w:val="24"/>
                <w:szCs w:val="21"/>
              </w:rPr>
              <w:t>N/ACC</w:t>
            </w:r>
          </w:p>
        </w:tc>
        <w:tc>
          <w:tcPr>
            <w:tcW w:w="1134" w:type="dxa"/>
            <w:vAlign w:val="center"/>
          </w:tcPr>
          <w:p>
            <w:pPr>
              <w:spacing w:line="360" w:lineRule="auto"/>
              <w:jc w:val="left"/>
              <w:rPr>
                <w:sz w:val="24"/>
                <w:szCs w:val="21"/>
              </w:rPr>
            </w:pPr>
            <w:r>
              <w:rPr>
                <w:rFonts w:hint="eastAsia"/>
                <w:sz w:val="24"/>
                <w:szCs w:val="21"/>
              </w:rPr>
              <w:t>ALARP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pPr>
              <w:spacing w:line="360" w:lineRule="auto"/>
              <w:jc w:val="left"/>
              <w:rPr>
                <w:b/>
                <w:sz w:val="24"/>
                <w:szCs w:val="21"/>
              </w:rPr>
            </w:pPr>
            <w:r>
              <w:rPr>
                <w:b/>
                <w:sz w:val="24"/>
                <w:szCs w:val="21"/>
              </w:rPr>
              <w:t>P5</w:t>
            </w:r>
            <w:r>
              <w:rPr>
                <w:rFonts w:hint="eastAsia"/>
                <w:b/>
                <w:sz w:val="24"/>
                <w:szCs w:val="21"/>
              </w:rPr>
              <w:t xml:space="preserve"> </w:t>
            </w:r>
            <w:r>
              <w:rPr>
                <w:b/>
                <w:sz w:val="24"/>
                <w:szCs w:val="21"/>
              </w:rPr>
              <w:t>有时</w:t>
            </w:r>
          </w:p>
        </w:tc>
        <w:tc>
          <w:tcPr>
            <w:tcW w:w="1417" w:type="dxa"/>
          </w:tcPr>
          <w:p>
            <w:pPr>
              <w:spacing w:line="360" w:lineRule="auto"/>
              <w:jc w:val="left"/>
              <w:rPr>
                <w:sz w:val="24"/>
              </w:rPr>
            </w:pPr>
            <w:r>
              <w:rPr>
                <w:rFonts w:hint="eastAsia"/>
                <w:sz w:val="24"/>
                <w:szCs w:val="21"/>
              </w:rPr>
              <w:t>N/ACC</w:t>
            </w:r>
          </w:p>
        </w:tc>
        <w:tc>
          <w:tcPr>
            <w:tcW w:w="1418" w:type="dxa"/>
            <w:vAlign w:val="center"/>
          </w:tcPr>
          <w:p>
            <w:pPr>
              <w:spacing w:line="360" w:lineRule="auto"/>
              <w:jc w:val="left"/>
              <w:rPr>
                <w:sz w:val="24"/>
                <w:szCs w:val="21"/>
              </w:rPr>
            </w:pPr>
            <w:r>
              <w:rPr>
                <w:rFonts w:hint="eastAsia"/>
                <w:sz w:val="24"/>
                <w:szCs w:val="21"/>
              </w:rPr>
              <w:t>N/ACC</w:t>
            </w:r>
          </w:p>
        </w:tc>
        <w:tc>
          <w:tcPr>
            <w:tcW w:w="1275" w:type="dxa"/>
          </w:tcPr>
          <w:p>
            <w:pPr>
              <w:spacing w:line="360" w:lineRule="auto"/>
              <w:jc w:val="left"/>
              <w:rPr>
                <w:sz w:val="24"/>
                <w:szCs w:val="21"/>
              </w:rPr>
            </w:pPr>
            <w:r>
              <w:rPr>
                <w:rFonts w:hint="eastAsia"/>
                <w:sz w:val="24"/>
                <w:szCs w:val="21"/>
              </w:rPr>
              <w:t>ALARP</w:t>
            </w:r>
          </w:p>
        </w:tc>
        <w:tc>
          <w:tcPr>
            <w:tcW w:w="1134" w:type="dxa"/>
            <w:vAlign w:val="center"/>
          </w:tcPr>
          <w:p>
            <w:pPr>
              <w:spacing w:line="360" w:lineRule="auto"/>
              <w:jc w:val="left"/>
              <w:rPr>
                <w:sz w:val="24"/>
                <w:szCs w:val="21"/>
              </w:rPr>
            </w:pPr>
            <w:r>
              <w:rPr>
                <w:rFonts w:hint="eastAsia"/>
                <w:sz w:val="24"/>
                <w:szCs w:val="21"/>
              </w:rPr>
              <w:t>ALARP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pPr>
              <w:spacing w:line="360" w:lineRule="auto"/>
              <w:jc w:val="left"/>
              <w:rPr>
                <w:b/>
                <w:sz w:val="24"/>
                <w:szCs w:val="21"/>
              </w:rPr>
            </w:pPr>
            <w:r>
              <w:rPr>
                <w:b/>
                <w:sz w:val="24"/>
                <w:szCs w:val="21"/>
              </w:rPr>
              <w:t>P4</w:t>
            </w:r>
            <w:r>
              <w:rPr>
                <w:rFonts w:hint="eastAsia"/>
                <w:b/>
                <w:sz w:val="24"/>
                <w:szCs w:val="21"/>
              </w:rPr>
              <w:t xml:space="preserve"> </w:t>
            </w:r>
            <w:r>
              <w:rPr>
                <w:b/>
                <w:sz w:val="24"/>
                <w:szCs w:val="21"/>
              </w:rPr>
              <w:t>偶尔</w:t>
            </w:r>
          </w:p>
        </w:tc>
        <w:tc>
          <w:tcPr>
            <w:tcW w:w="1417" w:type="dxa"/>
          </w:tcPr>
          <w:p>
            <w:pPr>
              <w:spacing w:line="360" w:lineRule="auto"/>
              <w:jc w:val="left"/>
              <w:rPr>
                <w:sz w:val="24"/>
              </w:rPr>
            </w:pPr>
            <w:r>
              <w:rPr>
                <w:rFonts w:hint="eastAsia"/>
                <w:sz w:val="24"/>
                <w:szCs w:val="21"/>
              </w:rPr>
              <w:t>N/ACC</w:t>
            </w:r>
          </w:p>
        </w:tc>
        <w:tc>
          <w:tcPr>
            <w:tcW w:w="1418" w:type="dxa"/>
          </w:tcPr>
          <w:p>
            <w:pPr>
              <w:spacing w:line="360" w:lineRule="auto"/>
              <w:jc w:val="left"/>
              <w:rPr>
                <w:sz w:val="24"/>
              </w:rPr>
            </w:pPr>
            <w:r>
              <w:rPr>
                <w:rFonts w:hint="eastAsia"/>
                <w:sz w:val="24"/>
                <w:szCs w:val="21"/>
              </w:rPr>
              <w:t>ALARP</w:t>
            </w:r>
          </w:p>
        </w:tc>
        <w:tc>
          <w:tcPr>
            <w:tcW w:w="1275" w:type="dxa"/>
          </w:tcPr>
          <w:p>
            <w:pPr>
              <w:spacing w:line="360" w:lineRule="auto"/>
              <w:jc w:val="left"/>
              <w:rPr>
                <w:sz w:val="24"/>
                <w:szCs w:val="21"/>
              </w:rPr>
            </w:pPr>
            <w:r>
              <w:rPr>
                <w:rFonts w:hint="eastAsia"/>
                <w:sz w:val="24"/>
                <w:szCs w:val="21"/>
              </w:rPr>
              <w:t>ALARP</w:t>
            </w:r>
          </w:p>
        </w:tc>
        <w:tc>
          <w:tcPr>
            <w:tcW w:w="1134" w:type="dxa"/>
            <w:vAlign w:val="center"/>
          </w:tcPr>
          <w:p>
            <w:pPr>
              <w:spacing w:line="360" w:lineRule="auto"/>
              <w:jc w:val="left"/>
              <w:rPr>
                <w:sz w:val="24"/>
                <w:szCs w:val="21"/>
              </w:rPr>
            </w:pPr>
            <w:r>
              <w:rPr>
                <w:rFonts w:hint="eastAsia"/>
                <w:sz w:val="24"/>
                <w:szCs w:val="21"/>
              </w:rPr>
              <w:t>ALARP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pPr>
              <w:spacing w:line="360" w:lineRule="auto"/>
              <w:jc w:val="left"/>
              <w:rPr>
                <w:b/>
                <w:sz w:val="24"/>
                <w:szCs w:val="21"/>
              </w:rPr>
            </w:pPr>
            <w:r>
              <w:rPr>
                <w:b/>
                <w:sz w:val="24"/>
                <w:szCs w:val="21"/>
              </w:rPr>
              <w:t>P3</w:t>
            </w:r>
            <w:r>
              <w:rPr>
                <w:rFonts w:hint="eastAsia"/>
                <w:b/>
                <w:sz w:val="24"/>
                <w:szCs w:val="21"/>
              </w:rPr>
              <w:t xml:space="preserve"> </w:t>
            </w:r>
            <w:r>
              <w:rPr>
                <w:b/>
                <w:sz w:val="24"/>
                <w:szCs w:val="21"/>
              </w:rPr>
              <w:t>很少</w:t>
            </w:r>
          </w:p>
        </w:tc>
        <w:tc>
          <w:tcPr>
            <w:tcW w:w="1417" w:type="dxa"/>
            <w:vAlign w:val="center"/>
          </w:tcPr>
          <w:p>
            <w:pPr>
              <w:spacing w:line="360" w:lineRule="auto"/>
              <w:jc w:val="left"/>
              <w:rPr>
                <w:sz w:val="24"/>
                <w:szCs w:val="21"/>
              </w:rPr>
            </w:pPr>
            <w:r>
              <w:rPr>
                <w:rFonts w:hint="eastAsia"/>
                <w:sz w:val="24"/>
                <w:szCs w:val="21"/>
              </w:rPr>
              <w:t>ALARP</w:t>
            </w:r>
          </w:p>
        </w:tc>
        <w:tc>
          <w:tcPr>
            <w:tcW w:w="1418" w:type="dxa"/>
          </w:tcPr>
          <w:p>
            <w:pPr>
              <w:spacing w:line="360" w:lineRule="auto"/>
              <w:jc w:val="left"/>
              <w:rPr>
                <w:sz w:val="24"/>
              </w:rPr>
            </w:pPr>
            <w:r>
              <w:rPr>
                <w:rFonts w:hint="eastAsia"/>
                <w:sz w:val="24"/>
                <w:szCs w:val="21"/>
              </w:rPr>
              <w:t>ALARP</w:t>
            </w:r>
          </w:p>
        </w:tc>
        <w:tc>
          <w:tcPr>
            <w:tcW w:w="1275" w:type="dxa"/>
          </w:tcPr>
          <w:p>
            <w:pPr>
              <w:spacing w:line="360" w:lineRule="auto"/>
              <w:jc w:val="left"/>
              <w:rPr>
                <w:sz w:val="24"/>
                <w:szCs w:val="21"/>
              </w:rPr>
            </w:pPr>
            <w:r>
              <w:rPr>
                <w:rFonts w:hint="eastAsia"/>
                <w:sz w:val="24"/>
                <w:szCs w:val="21"/>
              </w:rPr>
              <w:t>ALARP</w:t>
            </w:r>
          </w:p>
        </w:tc>
        <w:tc>
          <w:tcPr>
            <w:tcW w:w="1134" w:type="dxa"/>
            <w:vAlign w:val="center"/>
          </w:tcPr>
          <w:p>
            <w:pPr>
              <w:spacing w:line="360" w:lineRule="auto"/>
              <w:jc w:val="left"/>
              <w:rPr>
                <w:sz w:val="24"/>
                <w:szCs w:val="21"/>
              </w:rPr>
            </w:pPr>
            <w:r>
              <w:rPr>
                <w:sz w:val="24"/>
                <w:szCs w:val="21"/>
              </w:rPr>
              <w:t>A</w:t>
            </w:r>
            <w:r>
              <w:rPr>
                <w:rFonts w:hint="eastAsia"/>
                <w:sz w:val="24"/>
                <w:szCs w:val="21"/>
              </w:rPr>
              <w: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pPr>
              <w:spacing w:line="360" w:lineRule="auto"/>
              <w:jc w:val="left"/>
              <w:rPr>
                <w:b/>
                <w:sz w:val="24"/>
                <w:szCs w:val="21"/>
              </w:rPr>
            </w:pPr>
            <w:r>
              <w:rPr>
                <w:b/>
                <w:sz w:val="24"/>
                <w:szCs w:val="21"/>
              </w:rPr>
              <w:t>P2</w:t>
            </w:r>
            <w:r>
              <w:rPr>
                <w:rFonts w:hint="eastAsia"/>
                <w:b/>
                <w:sz w:val="24"/>
                <w:szCs w:val="21"/>
              </w:rPr>
              <w:t xml:space="preserve"> </w:t>
            </w:r>
            <w:r>
              <w:rPr>
                <w:b/>
                <w:sz w:val="24"/>
                <w:szCs w:val="21"/>
              </w:rPr>
              <w:t>非常少</w:t>
            </w:r>
          </w:p>
        </w:tc>
        <w:tc>
          <w:tcPr>
            <w:tcW w:w="1417" w:type="dxa"/>
            <w:vAlign w:val="center"/>
          </w:tcPr>
          <w:p>
            <w:pPr>
              <w:spacing w:line="360" w:lineRule="auto"/>
              <w:jc w:val="left"/>
              <w:rPr>
                <w:sz w:val="24"/>
                <w:szCs w:val="21"/>
              </w:rPr>
            </w:pPr>
            <w:r>
              <w:rPr>
                <w:rFonts w:hint="eastAsia"/>
                <w:sz w:val="24"/>
                <w:szCs w:val="21"/>
              </w:rPr>
              <w:t>ALARP</w:t>
            </w:r>
          </w:p>
        </w:tc>
        <w:tc>
          <w:tcPr>
            <w:tcW w:w="1418" w:type="dxa"/>
            <w:vAlign w:val="center"/>
          </w:tcPr>
          <w:p>
            <w:pPr>
              <w:spacing w:line="360" w:lineRule="auto"/>
              <w:jc w:val="left"/>
              <w:rPr>
                <w:sz w:val="24"/>
                <w:szCs w:val="21"/>
              </w:rPr>
            </w:pPr>
            <w:r>
              <w:rPr>
                <w:rFonts w:hint="eastAsia"/>
                <w:sz w:val="24"/>
                <w:szCs w:val="21"/>
              </w:rPr>
              <w:t>ALARP</w:t>
            </w:r>
          </w:p>
        </w:tc>
        <w:tc>
          <w:tcPr>
            <w:tcW w:w="1275" w:type="dxa"/>
            <w:vAlign w:val="center"/>
          </w:tcPr>
          <w:p>
            <w:pPr>
              <w:spacing w:line="360" w:lineRule="auto"/>
              <w:jc w:val="left"/>
              <w:rPr>
                <w:sz w:val="24"/>
                <w:szCs w:val="21"/>
              </w:rPr>
            </w:pPr>
            <w:r>
              <w:rPr>
                <w:sz w:val="24"/>
                <w:szCs w:val="21"/>
              </w:rPr>
              <w:t>A</w:t>
            </w:r>
            <w:r>
              <w:rPr>
                <w:rFonts w:hint="eastAsia"/>
                <w:sz w:val="24"/>
                <w:szCs w:val="21"/>
              </w:rPr>
              <w:t>CC</w:t>
            </w:r>
          </w:p>
        </w:tc>
        <w:tc>
          <w:tcPr>
            <w:tcW w:w="1134" w:type="dxa"/>
            <w:vAlign w:val="center"/>
          </w:tcPr>
          <w:p>
            <w:pPr>
              <w:spacing w:line="360" w:lineRule="auto"/>
              <w:jc w:val="left"/>
              <w:rPr>
                <w:sz w:val="24"/>
                <w:szCs w:val="21"/>
              </w:rPr>
            </w:pPr>
            <w:r>
              <w:rPr>
                <w:sz w:val="24"/>
                <w:szCs w:val="21"/>
              </w:rPr>
              <w:t>A</w:t>
            </w:r>
            <w:r>
              <w:rPr>
                <w:rFonts w:hint="eastAsia"/>
                <w:sz w:val="24"/>
                <w:szCs w:val="21"/>
              </w:rPr>
              <w:t>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shd w:val="clear" w:color="auto" w:fill="C0C0C0"/>
          </w:tcPr>
          <w:p>
            <w:pPr>
              <w:spacing w:line="360" w:lineRule="auto"/>
              <w:jc w:val="left"/>
              <w:rPr>
                <w:b/>
                <w:sz w:val="24"/>
                <w:szCs w:val="21"/>
              </w:rPr>
            </w:pPr>
            <w:r>
              <w:rPr>
                <w:b/>
                <w:sz w:val="24"/>
                <w:szCs w:val="21"/>
              </w:rPr>
              <w:t>P1</w:t>
            </w:r>
            <w:r>
              <w:rPr>
                <w:rFonts w:hint="eastAsia"/>
                <w:b/>
                <w:sz w:val="24"/>
                <w:szCs w:val="21"/>
              </w:rPr>
              <w:t xml:space="preserve"> </w:t>
            </w:r>
            <w:r>
              <w:rPr>
                <w:b/>
                <w:sz w:val="24"/>
                <w:szCs w:val="21"/>
              </w:rPr>
              <w:t>极少</w:t>
            </w:r>
          </w:p>
        </w:tc>
        <w:tc>
          <w:tcPr>
            <w:tcW w:w="1417" w:type="dxa"/>
            <w:vAlign w:val="center"/>
          </w:tcPr>
          <w:p>
            <w:pPr>
              <w:spacing w:line="360" w:lineRule="auto"/>
              <w:jc w:val="left"/>
              <w:rPr>
                <w:sz w:val="24"/>
                <w:szCs w:val="21"/>
              </w:rPr>
            </w:pPr>
            <w:r>
              <w:rPr>
                <w:sz w:val="24"/>
                <w:szCs w:val="21"/>
              </w:rPr>
              <w:t>A</w:t>
            </w:r>
            <w:r>
              <w:rPr>
                <w:rFonts w:hint="eastAsia"/>
                <w:sz w:val="24"/>
                <w:szCs w:val="21"/>
              </w:rPr>
              <w:t>CC</w:t>
            </w:r>
          </w:p>
        </w:tc>
        <w:tc>
          <w:tcPr>
            <w:tcW w:w="1418" w:type="dxa"/>
            <w:vAlign w:val="center"/>
          </w:tcPr>
          <w:p>
            <w:pPr>
              <w:spacing w:line="360" w:lineRule="auto"/>
              <w:jc w:val="left"/>
              <w:rPr>
                <w:sz w:val="24"/>
                <w:szCs w:val="21"/>
              </w:rPr>
            </w:pPr>
            <w:r>
              <w:rPr>
                <w:sz w:val="24"/>
                <w:szCs w:val="21"/>
              </w:rPr>
              <w:t>A</w:t>
            </w:r>
            <w:r>
              <w:rPr>
                <w:rFonts w:hint="eastAsia"/>
                <w:sz w:val="24"/>
                <w:szCs w:val="21"/>
              </w:rPr>
              <w:t>CC</w:t>
            </w:r>
          </w:p>
        </w:tc>
        <w:tc>
          <w:tcPr>
            <w:tcW w:w="1275" w:type="dxa"/>
            <w:vAlign w:val="center"/>
          </w:tcPr>
          <w:p>
            <w:pPr>
              <w:spacing w:line="360" w:lineRule="auto"/>
              <w:jc w:val="left"/>
              <w:rPr>
                <w:sz w:val="24"/>
                <w:szCs w:val="21"/>
              </w:rPr>
            </w:pPr>
            <w:r>
              <w:rPr>
                <w:sz w:val="24"/>
                <w:szCs w:val="21"/>
              </w:rPr>
              <w:t>A</w:t>
            </w:r>
            <w:r>
              <w:rPr>
                <w:rFonts w:hint="eastAsia"/>
                <w:sz w:val="24"/>
                <w:szCs w:val="21"/>
              </w:rPr>
              <w:t>CC</w:t>
            </w:r>
          </w:p>
        </w:tc>
        <w:tc>
          <w:tcPr>
            <w:tcW w:w="1134" w:type="dxa"/>
            <w:vAlign w:val="center"/>
          </w:tcPr>
          <w:p>
            <w:pPr>
              <w:spacing w:line="360" w:lineRule="auto"/>
              <w:jc w:val="left"/>
              <w:rPr>
                <w:sz w:val="24"/>
                <w:szCs w:val="21"/>
              </w:rPr>
            </w:pPr>
            <w:r>
              <w:rPr>
                <w:sz w:val="24"/>
                <w:szCs w:val="21"/>
              </w:rPr>
              <w:t>A</w:t>
            </w:r>
            <w:r>
              <w:rPr>
                <w:rFonts w:hint="eastAsia"/>
                <w:sz w:val="24"/>
                <w:szCs w:val="21"/>
              </w:rPr>
              <w:t>CC</w:t>
            </w:r>
          </w:p>
        </w:tc>
      </w:tr>
    </w:tbl>
    <w:p>
      <w:pPr>
        <w:spacing w:line="360" w:lineRule="auto"/>
        <w:rPr>
          <w:sz w:val="24"/>
          <w:szCs w:val="21"/>
        </w:rPr>
      </w:pPr>
    </w:p>
    <w:p>
      <w:pPr>
        <w:spacing w:line="360" w:lineRule="auto"/>
        <w:ind w:left="353" w:leftChars="168"/>
        <w:rPr>
          <w:sz w:val="24"/>
          <w:szCs w:val="21"/>
        </w:rPr>
      </w:pPr>
      <w:r>
        <w:rPr>
          <w:rFonts w:hint="eastAsia"/>
          <w:sz w:val="24"/>
          <w:szCs w:val="21"/>
        </w:rPr>
        <w:t>说明：ACC：可接受的风险；</w:t>
      </w:r>
    </w:p>
    <w:p>
      <w:pPr>
        <w:spacing w:line="360" w:lineRule="auto"/>
        <w:ind w:left="353" w:leftChars="168" w:firstLine="720" w:firstLineChars="300"/>
        <w:rPr>
          <w:sz w:val="24"/>
          <w:szCs w:val="21"/>
        </w:rPr>
      </w:pPr>
      <w:r>
        <w:rPr>
          <w:rFonts w:hint="eastAsia"/>
          <w:sz w:val="24"/>
          <w:szCs w:val="21"/>
        </w:rPr>
        <w:t>ALARP：合理可行降低的风险；</w:t>
      </w:r>
    </w:p>
    <w:p>
      <w:pPr>
        <w:spacing w:line="360" w:lineRule="auto"/>
        <w:ind w:left="353" w:leftChars="168" w:firstLine="720" w:firstLineChars="300"/>
        <w:rPr>
          <w:sz w:val="24"/>
          <w:szCs w:val="21"/>
        </w:rPr>
      </w:pPr>
      <w:r>
        <w:rPr>
          <w:rFonts w:hint="eastAsia"/>
          <w:sz w:val="24"/>
          <w:szCs w:val="21"/>
        </w:rPr>
        <w:t>N/ACC：不经过风险/收益分析即判定为不可接受的风险</w:t>
      </w:r>
    </w:p>
    <w:p>
      <w:pPr>
        <w:spacing w:line="360" w:lineRule="auto"/>
        <w:ind w:firstLine="480" w:firstLineChars="200"/>
        <w:jc w:val="left"/>
        <w:rPr>
          <w:sz w:val="24"/>
        </w:rPr>
      </w:pPr>
      <w:r>
        <w:rPr>
          <w:sz w:val="24"/>
        </w:rPr>
        <w:t>在经过风险分析和风险评价过程判断出的产品所有的风险均应采取合理可行的措施降至可接受区。当所有风险控制措施已经实施并验证后，应根据本准则判断由产品造成的剩余风险的可接受性。当剩余风险被判断为不可接受时，应收集和评审有关预期用途、预期目的的医疗受益的资料和文献，对剩余风险进行风险/受益分析。如果受益大于风险，则该风险还是可接受的，如果风险大于受益则设计应放弃。</w:t>
      </w:r>
    </w:p>
    <w:p>
      <w:pPr>
        <w:spacing w:line="360" w:lineRule="auto"/>
        <w:ind w:firstLine="480" w:firstLineChars="200"/>
        <w:jc w:val="left"/>
        <w:rPr>
          <w:sz w:val="24"/>
        </w:rPr>
      </w:pPr>
      <w:r>
        <w:rPr>
          <w:sz w:val="24"/>
        </w:rPr>
        <w:t>对损害概率不能加以估计的危害处境，应编写一个危害的可能后果清单以用于风险评价和风险控制，采取合理可行降低法将风险降低到合理可行的最低水平，对于无法降低的风险进行风险/受益分析，如果受益大于风险，则该危害可接受，如果风险大于受益，则风险不可接受。受益必须大于风险，才能判定为可接受。</w:t>
      </w:r>
    </w:p>
    <w:p>
      <w:pPr>
        <w:spacing w:line="360" w:lineRule="auto"/>
        <w:ind w:firstLine="480" w:firstLineChars="200"/>
        <w:jc w:val="left"/>
        <w:rPr>
          <w:sz w:val="24"/>
        </w:rPr>
      </w:pPr>
      <w:r>
        <w:rPr>
          <w:sz w:val="24"/>
        </w:rPr>
        <w:t>在可接受区，风险是很低的，但是还应主动采取可行的措施将风险降至最低。</w:t>
      </w:r>
    </w:p>
    <w:p>
      <w:pPr>
        <w:pStyle w:val="2"/>
        <w:spacing w:line="360" w:lineRule="auto"/>
        <w:rPr>
          <w:sz w:val="24"/>
        </w:rPr>
      </w:pPr>
      <w:bookmarkStart w:id="32" w:name="_Toc277082335"/>
      <w:bookmarkStart w:id="33" w:name="_Toc78209928"/>
      <w:r>
        <w:rPr>
          <w:sz w:val="24"/>
        </w:rPr>
        <w:t>风险控制</w:t>
      </w:r>
      <w:bookmarkEnd w:id="32"/>
      <w:bookmarkEnd w:id="33"/>
    </w:p>
    <w:p>
      <w:pPr>
        <w:spacing w:line="360" w:lineRule="auto"/>
        <w:ind w:firstLine="480" w:firstLineChars="200"/>
        <w:jc w:val="left"/>
        <w:rPr>
          <w:sz w:val="24"/>
          <w:szCs w:val="21"/>
        </w:rPr>
      </w:pPr>
      <w:r>
        <w:rPr>
          <w:sz w:val="24"/>
          <w:szCs w:val="21"/>
        </w:rPr>
        <w:t>对于经判断为不可接受的风险，应在设计开发阶段从以下几个方面进行风险控制方案分析，识别一个或多个风险控制措施，以把风险降低到可接受水平。</w:t>
      </w:r>
    </w:p>
    <w:p>
      <w:pPr>
        <w:spacing w:line="360" w:lineRule="auto"/>
        <w:jc w:val="left"/>
        <w:rPr>
          <w:sz w:val="24"/>
          <w:szCs w:val="21"/>
        </w:rPr>
      </w:pPr>
      <w:r>
        <w:rPr>
          <w:sz w:val="24"/>
          <w:szCs w:val="21"/>
        </w:rPr>
        <w:t>1）用设计方法取得固有安全性</w:t>
      </w:r>
    </w:p>
    <w:p>
      <w:pPr>
        <w:spacing w:line="360" w:lineRule="auto"/>
        <w:jc w:val="left"/>
        <w:rPr>
          <w:sz w:val="24"/>
          <w:szCs w:val="21"/>
        </w:rPr>
      </w:pPr>
      <w:r>
        <w:rPr>
          <w:sz w:val="24"/>
          <w:szCs w:val="21"/>
        </w:rPr>
        <w:t>--消除特定的危害；</w:t>
      </w:r>
    </w:p>
    <w:p>
      <w:pPr>
        <w:spacing w:line="360" w:lineRule="auto"/>
        <w:jc w:val="left"/>
        <w:rPr>
          <w:sz w:val="24"/>
          <w:szCs w:val="21"/>
        </w:rPr>
      </w:pPr>
      <w:r>
        <w:rPr>
          <w:sz w:val="24"/>
          <w:szCs w:val="21"/>
        </w:rPr>
        <w:t>--降低损害的发生概率；</w:t>
      </w:r>
    </w:p>
    <w:p>
      <w:pPr>
        <w:spacing w:line="360" w:lineRule="auto"/>
        <w:jc w:val="left"/>
        <w:rPr>
          <w:sz w:val="24"/>
          <w:szCs w:val="21"/>
        </w:rPr>
      </w:pPr>
      <w:r>
        <w:rPr>
          <w:sz w:val="24"/>
          <w:szCs w:val="21"/>
        </w:rPr>
        <w:t>--降低损害的严重度。</w:t>
      </w:r>
    </w:p>
    <w:p>
      <w:pPr>
        <w:spacing w:line="360" w:lineRule="auto"/>
        <w:jc w:val="left"/>
        <w:rPr>
          <w:sz w:val="24"/>
          <w:szCs w:val="21"/>
        </w:rPr>
      </w:pPr>
      <w:r>
        <w:rPr>
          <w:sz w:val="24"/>
          <w:szCs w:val="21"/>
        </w:rPr>
        <w:t>2）在产品本身或在制造过程中的防护措施。</w:t>
      </w:r>
    </w:p>
    <w:p>
      <w:pPr>
        <w:spacing w:line="360" w:lineRule="auto"/>
        <w:jc w:val="left"/>
        <w:rPr>
          <w:sz w:val="24"/>
          <w:szCs w:val="21"/>
        </w:rPr>
      </w:pPr>
      <w:r>
        <w:rPr>
          <w:sz w:val="24"/>
          <w:szCs w:val="21"/>
        </w:rPr>
        <w:t>3）安全信息</w:t>
      </w:r>
    </w:p>
    <w:p>
      <w:pPr>
        <w:spacing w:line="360" w:lineRule="auto"/>
        <w:jc w:val="left"/>
        <w:rPr>
          <w:sz w:val="24"/>
          <w:szCs w:val="21"/>
        </w:rPr>
      </w:pPr>
      <w:r>
        <w:rPr>
          <w:sz w:val="24"/>
          <w:szCs w:val="21"/>
        </w:rPr>
        <w:t>--在产品随附文件中给出警告、使用说明；</w:t>
      </w:r>
    </w:p>
    <w:p>
      <w:pPr>
        <w:spacing w:line="360" w:lineRule="auto"/>
        <w:jc w:val="left"/>
        <w:rPr>
          <w:sz w:val="24"/>
          <w:szCs w:val="21"/>
        </w:rPr>
      </w:pPr>
      <w:r>
        <w:rPr>
          <w:sz w:val="24"/>
          <w:szCs w:val="21"/>
        </w:rPr>
        <w:t>--限制医疗器械的使用或限制使用环境；</w:t>
      </w:r>
    </w:p>
    <w:p>
      <w:pPr>
        <w:spacing w:line="360" w:lineRule="auto"/>
        <w:jc w:val="left"/>
        <w:rPr>
          <w:sz w:val="24"/>
          <w:szCs w:val="21"/>
        </w:rPr>
      </w:pPr>
      <w:r>
        <w:rPr>
          <w:sz w:val="24"/>
          <w:szCs w:val="21"/>
        </w:rPr>
        <w:t>--对操作者进行培训。</w:t>
      </w:r>
    </w:p>
    <w:p>
      <w:pPr>
        <w:pStyle w:val="2"/>
        <w:spacing w:line="360" w:lineRule="auto"/>
        <w:rPr>
          <w:sz w:val="24"/>
        </w:rPr>
      </w:pPr>
      <w:bookmarkStart w:id="34" w:name="_Toc277082336"/>
      <w:bookmarkStart w:id="35" w:name="_Toc78209929"/>
      <w:r>
        <w:rPr>
          <w:sz w:val="24"/>
        </w:rPr>
        <w:t>验证活动</w:t>
      </w:r>
      <w:bookmarkEnd w:id="34"/>
      <w:bookmarkEnd w:id="35"/>
    </w:p>
    <w:p>
      <w:pPr>
        <w:spacing w:line="360" w:lineRule="auto"/>
        <w:ind w:firstLine="480" w:firstLineChars="200"/>
        <w:rPr>
          <w:sz w:val="24"/>
          <w:szCs w:val="21"/>
        </w:rPr>
      </w:pPr>
      <w:r>
        <w:rPr>
          <w:sz w:val="24"/>
          <w:szCs w:val="21"/>
        </w:rPr>
        <w:t>应确保经判定的危害处境产生的一个或多个风险得到了考虑，并保证所有已评价的风险已通过合理可行的措施降低至可接受水平，保证风险控制的完整性。风险管理评审小组负责对风险管理计划的实施情况进行验证，以查看风险管理文档的方式查看风险分析、风险评价、风险控制等记录，确保风险管理计划中策划的风险管理活动已得到适当的实施。在风险控制方案实施中或实施后，应对实施效果进行验证，可通过收集临床资料及生产和生产后信息对风险管理实施效果进行验证以确保风险管理活动的有效性。同时对控制措施的实施是否会引起的一个或多个新的风险或对采取措施之前评价的风险是否有影响进行分析，必要时进行再次风险分析、风险评价和风险控制。对任何剩余风险都应采取本计划中第5条的风险可接受准则进行评价，对判断为不可接受的应采取进一步的风险控制措施，如果控制措施不可行，则应收集和评审相关的资料和文献对剩余风险进行风险/受益分析，若受益大于风险，则剩余风险依然是可接收的，如果风险大于受益，则为不可接受。对于判断为可接受的剩余风险，应由评审组依据</w:t>
      </w:r>
      <w:r>
        <w:rPr>
          <w:sz w:val="24"/>
        </w:rPr>
        <w:t>《</w:t>
      </w:r>
      <w:r>
        <w:rPr>
          <w:rFonts w:hint="eastAsia"/>
          <w:sz w:val="24"/>
        </w:rPr>
        <w:t>GB/T 42062-2022、YY/T 1406.1-2016</w:t>
      </w:r>
      <w:r>
        <w:rPr>
          <w:sz w:val="24"/>
          <w:szCs w:val="21"/>
        </w:rPr>
        <w:t>在产品的随机文件中公开那些剩余风险。</w:t>
      </w:r>
    </w:p>
    <w:p>
      <w:pPr>
        <w:pStyle w:val="2"/>
        <w:spacing w:line="360" w:lineRule="auto"/>
        <w:rPr>
          <w:sz w:val="24"/>
        </w:rPr>
      </w:pPr>
      <w:bookmarkStart w:id="36" w:name="_Toc277082337"/>
      <w:bookmarkStart w:id="37" w:name="_Toc78209930"/>
      <w:r>
        <w:rPr>
          <w:sz w:val="24"/>
        </w:rPr>
        <w:t>生产和生产后信息</w:t>
      </w:r>
      <w:bookmarkEnd w:id="36"/>
      <w:r>
        <w:rPr>
          <w:rFonts w:hint="eastAsia"/>
          <w:sz w:val="24"/>
        </w:rPr>
        <w:t>收集和评审</w:t>
      </w:r>
      <w:bookmarkEnd w:id="37"/>
    </w:p>
    <w:p>
      <w:pPr>
        <w:pStyle w:val="89"/>
        <w:keepNext/>
        <w:keepLines/>
        <w:numPr>
          <w:ilvl w:val="0"/>
          <w:numId w:val="7"/>
        </w:numPr>
        <w:spacing w:before="160" w:after="160" w:line="360" w:lineRule="auto"/>
        <w:ind w:firstLineChars="0"/>
        <w:outlineLvl w:val="1"/>
        <w:rPr>
          <w:b/>
          <w:bCs/>
          <w:vanish/>
          <w:sz w:val="24"/>
          <w:szCs w:val="32"/>
        </w:rPr>
      </w:pPr>
      <w:bookmarkStart w:id="38" w:name="_Toc78209931"/>
      <w:bookmarkEnd w:id="38"/>
    </w:p>
    <w:p>
      <w:pPr>
        <w:pStyle w:val="89"/>
        <w:keepNext/>
        <w:keepLines/>
        <w:numPr>
          <w:ilvl w:val="0"/>
          <w:numId w:val="7"/>
        </w:numPr>
        <w:spacing w:before="160" w:after="160" w:line="360" w:lineRule="auto"/>
        <w:ind w:firstLineChars="0"/>
        <w:outlineLvl w:val="1"/>
        <w:rPr>
          <w:b/>
          <w:bCs/>
          <w:vanish/>
          <w:sz w:val="24"/>
          <w:szCs w:val="32"/>
        </w:rPr>
      </w:pPr>
      <w:bookmarkStart w:id="39" w:name="_Toc78209932"/>
      <w:bookmarkEnd w:id="39"/>
    </w:p>
    <w:p>
      <w:pPr>
        <w:pStyle w:val="89"/>
        <w:keepNext/>
        <w:keepLines/>
        <w:numPr>
          <w:ilvl w:val="0"/>
          <w:numId w:val="7"/>
        </w:numPr>
        <w:spacing w:before="160" w:after="160" w:line="360" w:lineRule="auto"/>
        <w:ind w:firstLineChars="0"/>
        <w:outlineLvl w:val="1"/>
        <w:rPr>
          <w:b/>
          <w:bCs/>
          <w:vanish/>
          <w:sz w:val="24"/>
          <w:szCs w:val="32"/>
        </w:rPr>
      </w:pPr>
      <w:bookmarkStart w:id="40" w:name="_Toc78209933"/>
      <w:bookmarkEnd w:id="40"/>
    </w:p>
    <w:p>
      <w:pPr>
        <w:pStyle w:val="3"/>
        <w:numPr>
          <w:ilvl w:val="1"/>
          <w:numId w:val="7"/>
        </w:numPr>
        <w:rPr>
          <w:rFonts w:ascii="Times New Roman" w:hAnsi="Times New Roman"/>
          <w:sz w:val="24"/>
        </w:rPr>
      </w:pPr>
      <w:bookmarkStart w:id="41" w:name="_Toc78209934"/>
      <w:r>
        <w:rPr>
          <w:rFonts w:ascii="Times New Roman" w:hAnsi="Times New Roman"/>
          <w:sz w:val="24"/>
        </w:rPr>
        <w:t>生产中</w:t>
      </w:r>
      <w:r>
        <w:rPr>
          <w:rFonts w:hint="eastAsia" w:ascii="Times New Roman" w:hAnsi="Times New Roman"/>
          <w:sz w:val="24"/>
        </w:rPr>
        <w:t>信息收集和评审</w:t>
      </w:r>
      <w:bookmarkEnd w:id="41"/>
    </w:p>
    <w:p>
      <w:pPr>
        <w:spacing w:line="360" w:lineRule="auto"/>
        <w:ind w:firstLine="480" w:firstLineChars="200"/>
        <w:jc w:val="left"/>
        <w:rPr>
          <w:sz w:val="24"/>
        </w:rPr>
      </w:pPr>
      <w:r>
        <w:rPr>
          <w:sz w:val="24"/>
        </w:rPr>
        <w:t>在产品开发完成投入生产的过程中，要密切关注该产品的生产以及原材料的采购，各部门如果得到有关同类或类似产品中可能与安全有关的信息后，需要立即反馈开发部，开发部应对这些信息作出及时的评价，包括的评价有：</w:t>
      </w:r>
    </w:p>
    <w:p>
      <w:pPr>
        <w:numPr>
          <w:ilvl w:val="0"/>
          <w:numId w:val="8"/>
        </w:numPr>
        <w:spacing w:line="360" w:lineRule="auto"/>
        <w:ind w:left="0" w:firstLine="420"/>
        <w:jc w:val="left"/>
        <w:rPr>
          <w:sz w:val="24"/>
        </w:rPr>
      </w:pPr>
      <w:r>
        <w:rPr>
          <w:sz w:val="24"/>
        </w:rPr>
        <w:t>是否有事先未认知的危害出现；</w:t>
      </w:r>
    </w:p>
    <w:p>
      <w:pPr>
        <w:numPr>
          <w:ilvl w:val="0"/>
          <w:numId w:val="8"/>
        </w:numPr>
        <w:spacing w:line="360" w:lineRule="auto"/>
        <w:ind w:left="0" w:firstLine="420"/>
        <w:jc w:val="left"/>
        <w:rPr>
          <w:sz w:val="24"/>
        </w:rPr>
      </w:pPr>
      <w:r>
        <w:rPr>
          <w:sz w:val="24"/>
        </w:rPr>
        <w:t>是否有某项危害造成的已被估计的一个或多个风险不再是可以接受的；</w:t>
      </w:r>
    </w:p>
    <w:p>
      <w:pPr>
        <w:numPr>
          <w:ilvl w:val="0"/>
          <w:numId w:val="8"/>
        </w:numPr>
        <w:spacing w:line="360" w:lineRule="auto"/>
        <w:ind w:left="0" w:firstLine="420"/>
        <w:jc w:val="left"/>
        <w:rPr>
          <w:sz w:val="24"/>
        </w:rPr>
      </w:pPr>
      <w:r>
        <w:rPr>
          <w:sz w:val="24"/>
        </w:rPr>
        <w:t>初始评定是否无效。</w:t>
      </w:r>
    </w:p>
    <w:p>
      <w:pPr>
        <w:spacing w:line="360" w:lineRule="auto"/>
        <w:ind w:firstLine="480" w:firstLineChars="200"/>
        <w:jc w:val="left"/>
        <w:rPr>
          <w:sz w:val="24"/>
        </w:rPr>
      </w:pPr>
      <w:r>
        <w:rPr>
          <w:sz w:val="24"/>
        </w:rPr>
        <w:t>如果上述条件之一满足，则应作为风险管理过程的输入，考虑对医疗器械风险管理过程的适当阶段进行评审。如果一个或多个剩余风险或其可接受性已有潜在的变化，应对已实施的风险控制措施的影响进行重新评价。如果有新的风险产生，应对已销售产品进行评估，和给出适当的处理措施。评价的结果记录在风险管理报告中。</w:t>
      </w:r>
    </w:p>
    <w:p>
      <w:pPr>
        <w:pStyle w:val="3"/>
        <w:numPr>
          <w:ilvl w:val="1"/>
          <w:numId w:val="7"/>
        </w:numPr>
        <w:rPr>
          <w:rFonts w:ascii="Times New Roman" w:hAnsi="Times New Roman"/>
          <w:sz w:val="24"/>
        </w:rPr>
      </w:pPr>
      <w:bookmarkStart w:id="42" w:name="_Toc78209935"/>
      <w:r>
        <w:rPr>
          <w:rFonts w:ascii="Times New Roman" w:hAnsi="Times New Roman"/>
          <w:sz w:val="24"/>
        </w:rPr>
        <w:t>生产</w:t>
      </w:r>
      <w:r>
        <w:rPr>
          <w:rFonts w:hint="eastAsia" w:ascii="Times New Roman" w:hAnsi="Times New Roman"/>
          <w:sz w:val="24"/>
        </w:rPr>
        <w:t>后信息收集和评审</w:t>
      </w:r>
      <w:bookmarkEnd w:id="42"/>
    </w:p>
    <w:p>
      <w:pPr>
        <w:spacing w:line="360" w:lineRule="auto"/>
        <w:ind w:firstLine="480" w:firstLineChars="200"/>
        <w:jc w:val="left"/>
        <w:rPr>
          <w:sz w:val="24"/>
        </w:rPr>
      </w:pPr>
      <w:r>
        <w:rPr>
          <w:sz w:val="24"/>
        </w:rPr>
        <w:t>产品投入生产上市后，按年度进行风险分析，对产品生产中的各个环节、及客户要求与反馈进行整体评估，并形成年度风险分析报告。在进行年度风险分析时，应考虑由医疗器械的操作者、使用者或医疗器械安装、使用和维护人员所产生信息的收集和处理机制，还应考虑新的或者修订的标准要求。</w:t>
      </w:r>
    </w:p>
    <w:p>
      <w:pPr>
        <w:spacing w:line="360" w:lineRule="auto"/>
        <w:ind w:firstLine="480" w:firstLineChars="200"/>
        <w:jc w:val="left"/>
        <w:rPr>
          <w:sz w:val="24"/>
        </w:rPr>
      </w:pPr>
      <w:r>
        <w:rPr>
          <w:sz w:val="24"/>
        </w:rPr>
        <w:t>当有新的资料/数据可供应用时，应考虑核查已做出的风险分析报告，若必要，进行一次新的风险分析。因为快速发展的技术有可能消除、增加或降低任一特定危害的风险。随着时间的推移，风险有可能发生变化，依据新的资料/数据，新的风险也可能出现。</w:t>
      </w:r>
    </w:p>
    <w:sectPr>
      <w:headerReference r:id="rId3" w:type="default"/>
      <w:footerReference r:id="rId4"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楷体_GB2312">
    <w:altName w:val="汉仪楷体KW"/>
    <w:panose1 w:val="00000000000000000000"/>
    <w:charset w:val="86"/>
    <w:family w:val="modern"/>
    <w:pitch w:val="default"/>
    <w:sig w:usb0="00000000" w:usb1="00000000" w:usb2="00000000" w:usb3="00000000" w:csb0="00040000" w:csb1="00000000"/>
  </w:font>
  <w:font w:name="Cambria">
    <w:altName w:val="Georgia"/>
    <w:panose1 w:val="02040503050406030204"/>
    <w:charset w:val="00"/>
    <w:family w:val="roman"/>
    <w:pitch w:val="default"/>
    <w:sig w:usb0="00000000" w:usb1="00000000" w:usb2="02000000" w:usb3="00000000" w:csb0="0000019F" w:csb1="00000000"/>
  </w:font>
  <w:font w:name="汉仪楷体KW">
    <w:panose1 w:val="00020600040101010101"/>
    <w:charset w:val="86"/>
    <w:family w:val="auto"/>
    <w:pitch w:val="default"/>
    <w:sig w:usb0="A00002BF" w:usb1="18EF7CFA" w:usb2="00000016" w:usb3="00000000" w:csb0="00040000"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360"/>
      <w:rPr>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5"/>
                            <w:rPr>
                              <w:rFonts w:hint="default"/>
                            </w:rPr>
                          </w:pPr>
                          <w:r>
                            <w:t xml:space="preserve">第 </w:t>
                          </w:r>
                          <w:r>
                            <w:fldChar w:fldCharType="begin"/>
                          </w:r>
                          <w:r>
                            <w:instrText xml:space="preserve"> PAGE  \* MERGEFORMAT </w:instrText>
                          </w:r>
                          <w:r>
                            <w:fldChar w:fldCharType="separate"/>
                          </w:r>
                          <w:r>
                            <w:t>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pVbcAgAAJAYAAA4AAABkcnMvZTJvRG9jLnhtbK1US27bMBDdF+gd&#10;CO4VSY7iyEbkwLGiooDRBHCLrmmKsoRSJEHSn7Totr1BV91033PlHB1Slp2kRRGg9UIecoaP894M&#10;5+Jy13K0Ydo0UmQ4PokwYoLKshGrDL97WwQpRsYSURIuBcvwHTP4cvLyxcVWjdlA1pKXTCMAEWa8&#10;VRmurVXjMDS0Zi0xJ1IxAc5K6pZYWOpVWGqyBfSWh4MoGoZbqUulJWXGwG7eOfEeUT8HUFZVQ1ku&#10;6bplwnaomnFigZKpG2XwxGdbVYzam6oyzCKeYWBq/RcuAXvpvuHkgoxXmqi6ofsUyHNSeMKpJY2A&#10;Sw9QObEErXXzG1TbUC2NrOwJlW3YEfGKAIs4eqLNoiaKeS4gtVEH0c3/g6VvNrcaNWWGoeyCtFDw&#10;+29f77//vP/xBaVOnq0yY4haKIizuyu5g6bp9w1sOta7SrfuH/gg8IO4dwdx2c4i6g6lgzSNwEXB&#10;1y8APzweV9rYV0y2yBkZ1lA9LyrZzI3tQvsQd5uQRcO5ryAXaJvh4elZ5A8cPADOhYuFLABjb3WV&#10;+TSKRtfpdZoEyWB4HSRRngfTYpYEwyI+P8tP89ksjz87vDgZ101ZMuHu67skTp5XhX2ndPU99ImR&#10;vCkdnEvJ6NVyxjXaEOjSwv+cwpD8g7DwcRreDayeUIoHSXQ1GAXFMD0PkiI5C0bnURpE8ehqNIyS&#10;UZIXjynNG8H+ndIj9R8kTcauYAduS07oh79Sc+kcqYECfeFC14ddvznL7pY7kMiZS1neQW9q2T1u&#10;o2jRwKVzYuwt0fCaoedg3tkb+FRcQp/IvYVRLfXHP+27eCgveDHawnTIsIBhiBF/LeDxAaDtDd0b&#10;y94Q63YmoZAxzFFFvQkHtOW9WWnZvochOHV3gIsICjdl2PbmzHYTCoYoZdOpD1or3azq7gCMDkXs&#10;XCwUddf4FlLTtYX34J/JURWQ0i1geHhR94POTaeHax91HO6T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CvwKVW3AIAACQGAAAOAAAAAAAAAAEAIAAAAB8BAABkcnMvZTJvRG9jLnhtbFBLBQYA&#10;AAAABgAGAFkBAABtBgAAAAA=&#10;">
              <v:fill on="f" focussize="0,0"/>
              <v:stroke on="f" weight="0.5pt"/>
              <v:imagedata o:title=""/>
              <o:lock v:ext="edit" aspectratio="f"/>
              <v:textbox inset="0mm,0mm,0mm,0mm" style="mso-fit-shape-to-text:t;">
                <w:txbxContent>
                  <w:p>
                    <w:pPr>
                      <w:pStyle w:val="25"/>
                      <w:rPr>
                        <w:rFonts w:hint="default"/>
                      </w:rPr>
                    </w:pPr>
                    <w:r>
                      <w:t xml:space="preserve">第 </w:t>
                    </w:r>
                    <w:r>
                      <w:fldChar w:fldCharType="begin"/>
                    </w:r>
                    <w:r>
                      <w:instrText xml:space="preserve"> PAGE  \* MERGEFORMAT </w:instrText>
                    </w:r>
                    <w:r>
                      <w:fldChar w:fldCharType="separate"/>
                    </w:r>
                    <w:r>
                      <w:t>2</w:t>
                    </w:r>
                    <w:r>
                      <w:fldChar w:fldCharType="end"/>
                    </w:r>
                    <w:r>
                      <w:t xml:space="preserve"> 页</w:t>
                    </w:r>
                  </w:p>
                </w:txbxContent>
              </v:textbox>
            </v:shape>
          </w:pict>
        </mc:Fallback>
      </mc:AlternateContent>
    </w:r>
  </w:p>
  <w:sdt>
    <w:sdtPr>
      <w:rPr>
        <w:sz w:val="18"/>
        <w:szCs w:val="18"/>
      </w:rPr>
      <w:id w:val="-1"/>
    </w:sdtPr>
    <w:sdtEndPr>
      <w:rPr>
        <w:sz w:val="18"/>
        <w:szCs w:val="18"/>
      </w:rPr>
    </w:sdtEndPr>
    <w:sdtContent>
      <w:p>
        <w:pPr>
          <w:ind w:right="360"/>
        </w:pPr>
      </w:p>
      <w:p>
        <w:pPr>
          <w:pStyle w:val="25"/>
          <w:jc w:val="right"/>
        </w:pP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4"/>
      </w:rPr>
    </w:pPr>
    <w:r>
      <w:rPr>
        <w:rFonts w:hint="eastAsia" w:ascii="宋体" w:hAnsi="宋体" w:cs="宋体"/>
        <w:sz w:val="24"/>
      </w:rPr>
      <w:t>文件编号：JS-JL-040         版本号：A                修订次数：第1次</w:t>
    </w:r>
  </w:p>
  <w:p>
    <w:pPr>
      <w:pStyle w:val="26"/>
      <w:pBdr>
        <w:bottom w:val="none" w:color="auto" w:sz="0" w:space="1"/>
      </w:pBdr>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67"/>
      <w:lvlText w:val=""/>
      <w:lvlJc w:val="left"/>
      <w:pPr>
        <w:tabs>
          <w:tab w:val="left" w:pos="780"/>
        </w:tabs>
        <w:ind w:left="780" w:leftChars="200" w:hanging="360" w:hangingChars="200"/>
      </w:pPr>
      <w:rPr>
        <w:rFonts w:hint="default" w:ascii="Wingdings" w:hAnsi="Wingdings"/>
      </w:rPr>
    </w:lvl>
  </w:abstractNum>
  <w:abstractNum w:abstractNumId="1">
    <w:nsid w:val="00487A64"/>
    <w:multiLevelType w:val="multilevel"/>
    <w:tmpl w:val="00487A64"/>
    <w:lvl w:ilvl="0" w:tentative="0">
      <w:start w:val="1"/>
      <w:numFmt w:val="decimal"/>
      <w:lvlText w:val="%1）"/>
      <w:lvlJc w:val="left"/>
      <w:pPr>
        <w:tabs>
          <w:tab w:val="left" w:pos="795"/>
        </w:tabs>
        <w:ind w:left="795" w:hanging="36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abstractNum w:abstractNumId="2">
    <w:nsid w:val="07EB036A"/>
    <w:multiLevelType w:val="multilevel"/>
    <w:tmpl w:val="07EB036A"/>
    <w:lvl w:ilvl="0" w:tentative="0">
      <w:start w:val="1"/>
      <w:numFmt w:val="bullet"/>
      <w:pStyle w:val="8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34"/>
        </w:tabs>
        <w:ind w:left="777" w:hanging="357"/>
      </w:pPr>
      <w:rPr>
        <w:rFonts w:hint="default" w:ascii="Times New Roman" w:hAnsi="Times New Roman" w:cs="Times New Roman"/>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16D05A63"/>
    <w:multiLevelType w:val="multilevel"/>
    <w:tmpl w:val="16D05A63"/>
    <w:lvl w:ilvl="0" w:tentative="0">
      <w:start w:val="1"/>
      <w:numFmt w:val="lowerLetter"/>
      <w:lvlText w:val="%1）"/>
      <w:lvlJc w:val="left"/>
      <w:pPr>
        <w:tabs>
          <w:tab w:val="left" w:pos="360"/>
        </w:tabs>
        <w:ind w:left="360" w:hanging="36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4">
    <w:nsid w:val="19145BC0"/>
    <w:multiLevelType w:val="multilevel"/>
    <w:tmpl w:val="19145BC0"/>
    <w:lvl w:ilvl="0" w:tentative="0">
      <w:start w:val="1"/>
      <w:numFmt w:val="lowerRoman"/>
      <w:lvlText w:val="%1."/>
      <w:lvlJc w:val="right"/>
      <w:pPr>
        <w:tabs>
          <w:tab w:val="left" w:pos="567"/>
        </w:tabs>
        <w:ind w:left="0" w:firstLine="0"/>
      </w:pPr>
      <w:rPr>
        <w:rFonts w:hint="eastAsia"/>
      </w:rPr>
    </w:lvl>
    <w:lvl w:ilvl="1" w:tentative="0">
      <w:start w:val="1"/>
      <w:numFmt w:val="decimal"/>
      <w:pStyle w:val="103"/>
      <w:lvlText w:val="%1.%2"/>
      <w:lvlJc w:val="left"/>
      <w:pPr>
        <w:tabs>
          <w:tab w:val="left" w:pos="720"/>
        </w:tabs>
        <w:ind w:left="0" w:firstLine="0"/>
      </w:pPr>
      <w:rPr>
        <w:rFonts w:hint="eastAsia"/>
      </w:rPr>
    </w:lvl>
    <w:lvl w:ilvl="2" w:tentative="0">
      <w:start w:val="1"/>
      <w:numFmt w:val="decimal"/>
      <w:pStyle w:val="104"/>
      <w:lvlText w:val="%1.%2.%3"/>
      <w:lvlJc w:val="left"/>
      <w:pPr>
        <w:tabs>
          <w:tab w:val="left" w:pos="720"/>
        </w:tabs>
        <w:ind w:left="0" w:firstLine="0"/>
      </w:pPr>
      <w:rPr>
        <w:rFonts w:hint="eastAsia"/>
      </w:rPr>
    </w:lvl>
    <w:lvl w:ilvl="3" w:tentative="0">
      <w:start w:val="1"/>
      <w:numFmt w:val="decimal"/>
      <w:pStyle w:val="105"/>
      <w:lvlText w:val="%1.%2.%3.%4"/>
      <w:lvlJc w:val="left"/>
      <w:pPr>
        <w:tabs>
          <w:tab w:val="left" w:pos="1080"/>
        </w:tabs>
        <w:ind w:left="0" w:firstLine="0"/>
      </w:pPr>
      <w:rPr>
        <w:rFonts w:hint="eastAsia"/>
      </w:rPr>
    </w:lvl>
    <w:lvl w:ilvl="4" w:tentative="0">
      <w:start w:val="1"/>
      <w:numFmt w:val="none"/>
      <w:lvlText w:val=""/>
      <w:lvlJc w:val="left"/>
      <w:pPr>
        <w:tabs>
          <w:tab w:val="left" w:pos="360"/>
        </w:tabs>
        <w:ind w:left="0" w:firstLine="0"/>
      </w:pPr>
      <w:rPr>
        <w:rFonts w:hint="eastAsia"/>
      </w:rPr>
    </w:lvl>
    <w:lvl w:ilvl="5" w:tentative="0">
      <w:start w:val="1"/>
      <w:numFmt w:val="none"/>
      <w:lvlText w:val=""/>
      <w:lvlJc w:val="left"/>
      <w:pPr>
        <w:tabs>
          <w:tab w:val="left" w:pos="360"/>
        </w:tabs>
        <w:ind w:left="0" w:firstLine="0"/>
      </w:pPr>
      <w:rPr>
        <w:rFonts w:hint="eastAsia"/>
      </w:rPr>
    </w:lvl>
    <w:lvl w:ilvl="6" w:tentative="0">
      <w:start w:val="1"/>
      <w:numFmt w:val="none"/>
      <w:lvlText w:val=""/>
      <w:lvlJc w:val="left"/>
      <w:pPr>
        <w:tabs>
          <w:tab w:val="left" w:pos="360"/>
        </w:tabs>
        <w:ind w:left="0" w:firstLine="0"/>
      </w:pPr>
      <w:rPr>
        <w:rFonts w:hint="eastAsia"/>
      </w:rPr>
    </w:lvl>
    <w:lvl w:ilvl="7" w:tentative="0">
      <w:start w:val="1"/>
      <w:numFmt w:val="none"/>
      <w:lvlText w:val=""/>
      <w:lvlJc w:val="left"/>
      <w:pPr>
        <w:tabs>
          <w:tab w:val="left" w:pos="360"/>
        </w:tabs>
        <w:ind w:left="0" w:firstLine="0"/>
      </w:pPr>
      <w:rPr>
        <w:rFonts w:hint="eastAsia"/>
      </w:rPr>
    </w:lvl>
    <w:lvl w:ilvl="8" w:tentative="0">
      <w:start w:val="1"/>
      <w:numFmt w:val="none"/>
      <w:lvlText w:val=""/>
      <w:lvlJc w:val="left"/>
      <w:pPr>
        <w:tabs>
          <w:tab w:val="left" w:pos="360"/>
        </w:tabs>
        <w:ind w:left="0" w:firstLine="0"/>
      </w:pPr>
      <w:rPr>
        <w:rFonts w:hint="eastAsia"/>
      </w:rPr>
    </w:lvl>
  </w:abstractNum>
  <w:abstractNum w:abstractNumId="5">
    <w:nsid w:val="3C5844D4"/>
    <w:multiLevelType w:val="multilevel"/>
    <w:tmpl w:val="3C5844D4"/>
    <w:lvl w:ilvl="0" w:tentative="0">
      <w:start w:val="1"/>
      <w:numFmt w:val="decimal"/>
      <w:lvlText w:val="%1"/>
      <w:lvlJc w:val="left"/>
      <w:pPr>
        <w:ind w:left="555" w:hanging="555"/>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440" w:hanging="144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2160" w:hanging="2160"/>
      </w:pPr>
      <w:rPr>
        <w:rFonts w:hint="default"/>
      </w:rPr>
    </w:lvl>
    <w:lvl w:ilvl="8" w:tentative="0">
      <w:start w:val="1"/>
      <w:numFmt w:val="decimal"/>
      <w:lvlText w:val="%1.%2.%3.%4.%5.%6.%7.%8.%9"/>
      <w:lvlJc w:val="left"/>
      <w:pPr>
        <w:ind w:left="2160" w:hanging="2160"/>
      </w:pPr>
      <w:rPr>
        <w:rFonts w:hint="default"/>
      </w:rPr>
    </w:lvl>
  </w:abstractNum>
  <w:abstractNum w:abstractNumId="6">
    <w:nsid w:val="62964EAD"/>
    <w:multiLevelType w:val="multilevel"/>
    <w:tmpl w:val="62964EAD"/>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7F7D28D0"/>
    <w:multiLevelType w:val="multilevel"/>
    <w:tmpl w:val="7F7D28D0"/>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A%2"/>
      <w:lvlJc w:val="left"/>
      <w:pPr>
        <w:tabs>
          <w:tab w:val="left" w:pos="576"/>
        </w:tabs>
        <w:ind w:left="576" w:hanging="576"/>
      </w:pPr>
      <w:rPr>
        <w:rFonts w:hint="default" w:ascii="Times New Roman" w:hAnsi="Times New Roman" w:eastAsia="宋体" w:cs="Times New Roman"/>
        <w:b/>
        <w:sz w:val="28"/>
        <w:szCs w:val="28"/>
      </w:rPr>
    </w:lvl>
    <w:lvl w:ilvl="2" w:tentative="0">
      <w:start w:val="1"/>
      <w:numFmt w:val="decimal"/>
      <w:pStyle w:val="4"/>
      <w:lvlText w:val="A%2.%3"/>
      <w:lvlJc w:val="left"/>
      <w:pPr>
        <w:tabs>
          <w:tab w:val="left" w:pos="720"/>
        </w:tabs>
        <w:ind w:left="720" w:hanging="720"/>
      </w:pPr>
      <w:rPr>
        <w:rFonts w:hint="default" w:ascii="Times New Roman" w:hAnsi="Times New Roman" w:cs="Times New Roman"/>
      </w:rPr>
    </w:lvl>
    <w:lvl w:ilvl="3" w:tentative="0">
      <w:start w:val="1"/>
      <w:numFmt w:val="decimal"/>
      <w:pStyle w:val="5"/>
      <w:lvlText w:val="B4.1.%4"/>
      <w:lvlJc w:val="left"/>
      <w:pPr>
        <w:tabs>
          <w:tab w:val="left" w:pos="864"/>
        </w:tabs>
        <w:ind w:left="864" w:hanging="864"/>
      </w:pPr>
      <w:rPr>
        <w:rFonts w:hint="default" w:ascii="Times New Roman" w:hAnsi="Times New Roman"/>
        <w:sz w:val="24"/>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7"/>
  </w:num>
  <w:num w:numId="2">
    <w:abstractNumId w:val="0"/>
  </w:num>
  <w:num w:numId="3">
    <w:abstractNumId w:val="2"/>
  </w:num>
  <w:num w:numId="4">
    <w:abstractNumId w:val="4"/>
  </w:num>
  <w:num w:numId="5">
    <w:abstractNumId w:val="5"/>
  </w:num>
  <w:num w:numId="6">
    <w:abstractNumId w:val="1"/>
  </w:num>
  <w:num w:numId="7">
    <w:abstractNumId w:val="6"/>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gwMDBhMDJiNDE3ZTdmOGFhMDYxNmVjY2RhOTA3ZTEifQ=="/>
  </w:docVars>
  <w:rsids>
    <w:rsidRoot w:val="00582D2A"/>
    <w:rsid w:val="000203F8"/>
    <w:rsid w:val="00046310"/>
    <w:rsid w:val="000502DF"/>
    <w:rsid w:val="00062BCC"/>
    <w:rsid w:val="000840A4"/>
    <w:rsid w:val="00090B47"/>
    <w:rsid w:val="00096845"/>
    <w:rsid w:val="000E0374"/>
    <w:rsid w:val="000F5791"/>
    <w:rsid w:val="00102600"/>
    <w:rsid w:val="00107FE1"/>
    <w:rsid w:val="00110F09"/>
    <w:rsid w:val="001135E2"/>
    <w:rsid w:val="001513ED"/>
    <w:rsid w:val="00157879"/>
    <w:rsid w:val="00157B07"/>
    <w:rsid w:val="001611EE"/>
    <w:rsid w:val="001774CB"/>
    <w:rsid w:val="001B0AF5"/>
    <w:rsid w:val="001B1F6A"/>
    <w:rsid w:val="001C208F"/>
    <w:rsid w:val="001D1863"/>
    <w:rsid w:val="001E14EA"/>
    <w:rsid w:val="001F232C"/>
    <w:rsid w:val="002706FF"/>
    <w:rsid w:val="00282C58"/>
    <w:rsid w:val="00282FFB"/>
    <w:rsid w:val="002A1998"/>
    <w:rsid w:val="00315A76"/>
    <w:rsid w:val="00320BD6"/>
    <w:rsid w:val="00331977"/>
    <w:rsid w:val="00334A66"/>
    <w:rsid w:val="003677BF"/>
    <w:rsid w:val="00377FE6"/>
    <w:rsid w:val="003B32B2"/>
    <w:rsid w:val="00435072"/>
    <w:rsid w:val="0044488E"/>
    <w:rsid w:val="0045071F"/>
    <w:rsid w:val="00453E16"/>
    <w:rsid w:val="0047253E"/>
    <w:rsid w:val="004A43A7"/>
    <w:rsid w:val="004C082C"/>
    <w:rsid w:val="004F2F02"/>
    <w:rsid w:val="004F4F33"/>
    <w:rsid w:val="0050192D"/>
    <w:rsid w:val="00506221"/>
    <w:rsid w:val="005110C7"/>
    <w:rsid w:val="00580DD4"/>
    <w:rsid w:val="00582D2A"/>
    <w:rsid w:val="00601D18"/>
    <w:rsid w:val="00657CB1"/>
    <w:rsid w:val="00677E65"/>
    <w:rsid w:val="00690E0B"/>
    <w:rsid w:val="0069556E"/>
    <w:rsid w:val="006A0E73"/>
    <w:rsid w:val="006B07FA"/>
    <w:rsid w:val="006B1142"/>
    <w:rsid w:val="006E6E32"/>
    <w:rsid w:val="007332EA"/>
    <w:rsid w:val="0074449D"/>
    <w:rsid w:val="007464B3"/>
    <w:rsid w:val="00750CD8"/>
    <w:rsid w:val="00775C1D"/>
    <w:rsid w:val="00781383"/>
    <w:rsid w:val="007B578F"/>
    <w:rsid w:val="007D32E2"/>
    <w:rsid w:val="007F0C97"/>
    <w:rsid w:val="00815565"/>
    <w:rsid w:val="00835127"/>
    <w:rsid w:val="008958DE"/>
    <w:rsid w:val="008A1DBA"/>
    <w:rsid w:val="008B19DB"/>
    <w:rsid w:val="008D099E"/>
    <w:rsid w:val="008E01CB"/>
    <w:rsid w:val="009051F6"/>
    <w:rsid w:val="00950982"/>
    <w:rsid w:val="009E7A30"/>
    <w:rsid w:val="00A47B19"/>
    <w:rsid w:val="00AA29D5"/>
    <w:rsid w:val="00AB2625"/>
    <w:rsid w:val="00AD2957"/>
    <w:rsid w:val="00AE077E"/>
    <w:rsid w:val="00B0031C"/>
    <w:rsid w:val="00B3277E"/>
    <w:rsid w:val="00B35304"/>
    <w:rsid w:val="00B829DA"/>
    <w:rsid w:val="00B87E87"/>
    <w:rsid w:val="00BA2C60"/>
    <w:rsid w:val="00BC7658"/>
    <w:rsid w:val="00BE67F8"/>
    <w:rsid w:val="00BF1095"/>
    <w:rsid w:val="00C12903"/>
    <w:rsid w:val="00C1656C"/>
    <w:rsid w:val="00C324CA"/>
    <w:rsid w:val="00C45876"/>
    <w:rsid w:val="00C77402"/>
    <w:rsid w:val="00CA3EFF"/>
    <w:rsid w:val="00CA7F6B"/>
    <w:rsid w:val="00CD7CC7"/>
    <w:rsid w:val="00D0773B"/>
    <w:rsid w:val="00D12261"/>
    <w:rsid w:val="00D30C09"/>
    <w:rsid w:val="00D34784"/>
    <w:rsid w:val="00D51906"/>
    <w:rsid w:val="00D72EE2"/>
    <w:rsid w:val="00D7761D"/>
    <w:rsid w:val="00D949D4"/>
    <w:rsid w:val="00DA6F4D"/>
    <w:rsid w:val="00DC3675"/>
    <w:rsid w:val="00DC621C"/>
    <w:rsid w:val="00DF7C81"/>
    <w:rsid w:val="00E1668C"/>
    <w:rsid w:val="00E20B0C"/>
    <w:rsid w:val="00E44182"/>
    <w:rsid w:val="00E56395"/>
    <w:rsid w:val="00E82615"/>
    <w:rsid w:val="00E86CFA"/>
    <w:rsid w:val="00E9407C"/>
    <w:rsid w:val="00E9666B"/>
    <w:rsid w:val="00ED0BD6"/>
    <w:rsid w:val="00ED2BBC"/>
    <w:rsid w:val="00ED3215"/>
    <w:rsid w:val="00EF4B34"/>
    <w:rsid w:val="00F1210D"/>
    <w:rsid w:val="00F13DB5"/>
    <w:rsid w:val="00F4508B"/>
    <w:rsid w:val="00FD69AF"/>
    <w:rsid w:val="00FF7490"/>
    <w:rsid w:val="02DE20AE"/>
    <w:rsid w:val="0BF9487A"/>
    <w:rsid w:val="1CB0776F"/>
    <w:rsid w:val="287B0F8C"/>
    <w:rsid w:val="2AC35B85"/>
    <w:rsid w:val="2AFB5A2D"/>
    <w:rsid w:val="385F0324"/>
    <w:rsid w:val="3ABF58AF"/>
    <w:rsid w:val="421F3229"/>
    <w:rsid w:val="48AC1250"/>
    <w:rsid w:val="53DF33F3"/>
    <w:rsid w:val="5F9312DD"/>
    <w:rsid w:val="6F4625CF"/>
    <w:rsid w:val="70A76127"/>
    <w:rsid w:val="7AF41C5B"/>
    <w:rsid w:val="DFFBF060"/>
    <w:rsid w:val="EAFF792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99" w:name="footnote text"/>
    <w:lsdException w:qFormat="1" w:unhideWhenUsed="0" w:uiPriority="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qFormat="1" w:unhideWhenUsed="0" w:uiPriority="0"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5"/>
    <w:qFormat/>
    <w:uiPriority w:val="0"/>
    <w:pPr>
      <w:keepNext/>
      <w:keepLines/>
      <w:numPr>
        <w:ilvl w:val="0"/>
        <w:numId w:val="1"/>
      </w:numPr>
      <w:spacing w:before="240" w:after="240" w:line="480" w:lineRule="auto"/>
      <w:outlineLvl w:val="0"/>
    </w:pPr>
    <w:rPr>
      <w:b/>
      <w:bCs/>
      <w:kern w:val="44"/>
      <w:sz w:val="36"/>
      <w:szCs w:val="44"/>
    </w:rPr>
  </w:style>
  <w:style w:type="paragraph" w:styleId="3">
    <w:name w:val="heading 2"/>
    <w:basedOn w:val="1"/>
    <w:next w:val="1"/>
    <w:link w:val="46"/>
    <w:qFormat/>
    <w:uiPriority w:val="0"/>
    <w:pPr>
      <w:keepNext/>
      <w:keepLines/>
      <w:numPr>
        <w:ilvl w:val="1"/>
        <w:numId w:val="1"/>
      </w:numPr>
      <w:spacing w:before="160" w:after="160" w:line="360" w:lineRule="auto"/>
      <w:outlineLvl w:val="1"/>
    </w:pPr>
    <w:rPr>
      <w:rFonts w:ascii="宋体" w:hAnsi="宋体"/>
      <w:b/>
      <w:bCs/>
      <w:sz w:val="30"/>
      <w:szCs w:val="32"/>
    </w:rPr>
  </w:style>
  <w:style w:type="paragraph" w:styleId="4">
    <w:name w:val="heading 3"/>
    <w:basedOn w:val="1"/>
    <w:next w:val="1"/>
    <w:link w:val="47"/>
    <w:qFormat/>
    <w:uiPriority w:val="0"/>
    <w:pPr>
      <w:keepNext/>
      <w:keepLines/>
      <w:numPr>
        <w:ilvl w:val="2"/>
        <w:numId w:val="1"/>
      </w:numPr>
      <w:spacing w:before="120" w:after="120" w:line="360" w:lineRule="auto"/>
      <w:outlineLvl w:val="2"/>
    </w:pPr>
    <w:rPr>
      <w:rFonts w:ascii="宋体" w:hAnsi="宋体"/>
      <w:b/>
      <w:bCs/>
      <w:sz w:val="24"/>
      <w:szCs w:val="32"/>
    </w:rPr>
  </w:style>
  <w:style w:type="paragraph" w:styleId="5">
    <w:name w:val="heading 4"/>
    <w:basedOn w:val="1"/>
    <w:next w:val="1"/>
    <w:link w:val="48"/>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49"/>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50"/>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51"/>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52"/>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position w:val="-14"/>
      <w:sz w:val="24"/>
    </w:rPr>
  </w:style>
  <w:style w:type="paragraph" w:styleId="10">
    <w:name w:val="heading 9"/>
    <w:basedOn w:val="1"/>
    <w:next w:val="1"/>
    <w:link w:val="53"/>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8">
    <w:name w:val="Default Paragraph Font"/>
    <w:semiHidden/>
    <w:unhideWhenUsed/>
    <w:uiPriority w:val="1"/>
  </w:style>
  <w:style w:type="table" w:default="1" w:styleId="36">
    <w:name w:val="Normal Table"/>
    <w:semiHidden/>
    <w:unhideWhenUsed/>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Normal Indent"/>
    <w:basedOn w:val="1"/>
    <w:link w:val="88"/>
    <w:qFormat/>
    <w:uiPriority w:val="0"/>
    <w:pPr>
      <w:ind w:firstLine="420"/>
    </w:pPr>
    <w:rPr>
      <w:szCs w:val="20"/>
    </w:rPr>
  </w:style>
  <w:style w:type="paragraph" w:styleId="13">
    <w:name w:val="caption"/>
    <w:basedOn w:val="1"/>
    <w:next w:val="1"/>
    <w:qFormat/>
    <w:uiPriority w:val="0"/>
    <w:pPr>
      <w:adjustRightInd w:val="0"/>
      <w:spacing w:before="152" w:after="160" w:line="312" w:lineRule="atLeast"/>
      <w:textAlignment w:val="baseline"/>
    </w:pPr>
    <w:rPr>
      <w:rFonts w:eastAsia="黑体"/>
      <w:b/>
      <w:kern w:val="0"/>
      <w:sz w:val="18"/>
      <w:szCs w:val="20"/>
    </w:rPr>
  </w:style>
  <w:style w:type="paragraph" w:styleId="14">
    <w:name w:val="Document Map"/>
    <w:basedOn w:val="1"/>
    <w:link w:val="62"/>
    <w:semiHidden/>
    <w:qFormat/>
    <w:uiPriority w:val="0"/>
    <w:pPr>
      <w:shd w:val="clear" w:color="auto" w:fill="000080"/>
    </w:pPr>
  </w:style>
  <w:style w:type="paragraph" w:styleId="15">
    <w:name w:val="annotation text"/>
    <w:basedOn w:val="1"/>
    <w:link w:val="59"/>
    <w:semiHidden/>
    <w:qFormat/>
    <w:uiPriority w:val="0"/>
    <w:pPr>
      <w:adjustRightInd w:val="0"/>
      <w:spacing w:line="312" w:lineRule="atLeast"/>
      <w:jc w:val="left"/>
      <w:textAlignment w:val="baseline"/>
    </w:pPr>
    <w:rPr>
      <w:kern w:val="0"/>
      <w:position w:val="-14"/>
      <w:szCs w:val="20"/>
    </w:rPr>
  </w:style>
  <w:style w:type="paragraph" w:styleId="16">
    <w:name w:val="Body Text 3"/>
    <w:basedOn w:val="1"/>
    <w:link w:val="60"/>
    <w:qFormat/>
    <w:uiPriority w:val="0"/>
    <w:pPr>
      <w:spacing w:after="120"/>
    </w:pPr>
    <w:rPr>
      <w:sz w:val="16"/>
      <w:szCs w:val="16"/>
    </w:rPr>
  </w:style>
  <w:style w:type="paragraph" w:styleId="17">
    <w:name w:val="Body Text"/>
    <w:basedOn w:val="1"/>
    <w:link w:val="54"/>
    <w:qFormat/>
    <w:uiPriority w:val="0"/>
    <w:pPr>
      <w:spacing w:before="120" w:line="225" w:lineRule="atLeast"/>
    </w:pPr>
    <w:rPr>
      <w:spacing w:val="5"/>
      <w:sz w:val="24"/>
    </w:rPr>
  </w:style>
  <w:style w:type="paragraph" w:styleId="18">
    <w:name w:val="Body Text Indent"/>
    <w:basedOn w:val="1"/>
    <w:link w:val="61"/>
    <w:qFormat/>
    <w:uiPriority w:val="0"/>
    <w:pPr>
      <w:spacing w:after="120"/>
      <w:ind w:left="420" w:leftChars="200"/>
    </w:pPr>
  </w:style>
  <w:style w:type="paragraph" w:styleId="19">
    <w:name w:val="List Bullet 2"/>
    <w:basedOn w:val="1"/>
    <w:qFormat/>
    <w:uiPriority w:val="0"/>
    <w:pPr>
      <w:tabs>
        <w:tab w:val="left" w:pos="533"/>
      </w:tabs>
      <w:adjustRightInd w:val="0"/>
      <w:spacing w:line="312" w:lineRule="atLeast"/>
      <w:ind w:left="533" w:hanging="420"/>
      <w:textAlignment w:val="baseline"/>
    </w:pPr>
    <w:rPr>
      <w:kern w:val="0"/>
      <w:sz w:val="24"/>
      <w:szCs w:val="20"/>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tabs>
        <w:tab w:val="left" w:pos="982"/>
        <w:tab w:val="left" w:pos="1582"/>
        <w:tab w:val="right" w:leader="dot" w:pos="8314"/>
      </w:tabs>
      <w:spacing w:before="120" w:after="120"/>
      <w:ind w:left="840" w:leftChars="400"/>
      <w:jc w:val="left"/>
    </w:pPr>
    <w:rPr>
      <w:iCs/>
      <w:szCs w:val="20"/>
    </w:rPr>
  </w:style>
  <w:style w:type="paragraph" w:styleId="22">
    <w:name w:val="Plain Text"/>
    <w:basedOn w:val="1"/>
    <w:link w:val="66"/>
    <w:qFormat/>
    <w:uiPriority w:val="0"/>
    <w:rPr>
      <w:rFonts w:ascii="宋体" w:hAnsi="Courier New"/>
      <w:szCs w:val="20"/>
    </w:rPr>
  </w:style>
  <w:style w:type="paragraph" w:styleId="23">
    <w:name w:val="toc 8"/>
    <w:basedOn w:val="1"/>
    <w:next w:val="1"/>
    <w:semiHidden/>
    <w:qFormat/>
    <w:uiPriority w:val="0"/>
    <w:pPr>
      <w:ind w:left="1470"/>
      <w:jc w:val="left"/>
    </w:pPr>
    <w:rPr>
      <w:sz w:val="18"/>
      <w:szCs w:val="18"/>
    </w:rPr>
  </w:style>
  <w:style w:type="paragraph" w:styleId="24">
    <w:name w:val="Balloon Text"/>
    <w:basedOn w:val="1"/>
    <w:link w:val="56"/>
    <w:semiHidden/>
    <w:qFormat/>
    <w:uiPriority w:val="0"/>
    <w:rPr>
      <w:sz w:val="18"/>
      <w:szCs w:val="18"/>
    </w:rPr>
  </w:style>
  <w:style w:type="paragraph" w:styleId="25">
    <w:name w:val="footer"/>
    <w:basedOn w:val="1"/>
    <w:link w:val="44"/>
    <w:unhideWhenUsed/>
    <w:qFormat/>
    <w:uiPriority w:val="99"/>
    <w:pPr>
      <w:tabs>
        <w:tab w:val="center" w:pos="4153"/>
        <w:tab w:val="right" w:pos="8306"/>
      </w:tabs>
      <w:snapToGrid w:val="0"/>
      <w:jc w:val="left"/>
    </w:pPr>
    <w:rPr>
      <w:sz w:val="18"/>
      <w:szCs w:val="18"/>
    </w:rPr>
  </w:style>
  <w:style w:type="paragraph" w:styleId="26">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525"/>
        <w:tab w:val="right" w:leader="dot" w:pos="8314"/>
      </w:tabs>
      <w:spacing w:before="120" w:after="120"/>
      <w:ind w:firstLine="402" w:firstLineChars="100"/>
      <w:jc w:val="center"/>
    </w:pPr>
    <w:rPr>
      <w:b/>
      <w:bCs/>
      <w:caps/>
      <w:sz w:val="40"/>
      <w:szCs w:val="20"/>
    </w:rPr>
  </w:style>
  <w:style w:type="paragraph" w:styleId="28">
    <w:name w:val="toc 4"/>
    <w:basedOn w:val="1"/>
    <w:next w:val="1"/>
    <w:semiHidden/>
    <w:qFormat/>
    <w:uiPriority w:val="0"/>
    <w:pPr>
      <w:ind w:left="630"/>
      <w:jc w:val="left"/>
    </w:pPr>
    <w:rPr>
      <w:sz w:val="18"/>
      <w:szCs w:val="18"/>
    </w:rPr>
  </w:style>
  <w:style w:type="paragraph" w:styleId="29">
    <w:name w:val="toc 6"/>
    <w:basedOn w:val="1"/>
    <w:next w:val="1"/>
    <w:semiHidden/>
    <w:qFormat/>
    <w:uiPriority w:val="0"/>
    <w:pPr>
      <w:ind w:left="1050"/>
      <w:jc w:val="left"/>
    </w:pPr>
    <w:rPr>
      <w:sz w:val="18"/>
      <w:szCs w:val="18"/>
    </w:rPr>
  </w:style>
  <w:style w:type="paragraph" w:styleId="30">
    <w:name w:val="table of figures"/>
    <w:basedOn w:val="1"/>
    <w:next w:val="1"/>
    <w:semiHidden/>
    <w:qFormat/>
    <w:uiPriority w:val="0"/>
    <w:pPr>
      <w:tabs>
        <w:tab w:val="right" w:leader="dot" w:pos="9061"/>
      </w:tabs>
    </w:pPr>
    <w:rPr>
      <w:sz w:val="24"/>
    </w:rPr>
  </w:style>
  <w:style w:type="paragraph" w:styleId="31">
    <w:name w:val="toc 2"/>
    <w:basedOn w:val="1"/>
    <w:next w:val="1"/>
    <w:qFormat/>
    <w:uiPriority w:val="39"/>
    <w:pPr>
      <w:tabs>
        <w:tab w:val="left" w:pos="652"/>
        <w:tab w:val="left" w:pos="968"/>
        <w:tab w:val="right" w:leader="dot" w:pos="8314"/>
      </w:tabs>
      <w:spacing w:before="120" w:after="120"/>
      <w:ind w:left="420" w:leftChars="200"/>
      <w:jc w:val="left"/>
    </w:pPr>
    <w:rPr>
      <w:smallCaps/>
      <w:szCs w:val="20"/>
    </w:rPr>
  </w:style>
  <w:style w:type="paragraph" w:styleId="32">
    <w:name w:val="toc 9"/>
    <w:basedOn w:val="1"/>
    <w:next w:val="1"/>
    <w:semiHidden/>
    <w:qFormat/>
    <w:uiPriority w:val="0"/>
    <w:pPr>
      <w:ind w:left="1680"/>
      <w:jc w:val="left"/>
    </w:pPr>
    <w:rPr>
      <w:sz w:val="18"/>
      <w:szCs w:val="18"/>
    </w:rPr>
  </w:style>
  <w:style w:type="paragraph" w:styleId="33">
    <w:name w:val="Body Text 2"/>
    <w:basedOn w:val="1"/>
    <w:link w:val="58"/>
    <w:qFormat/>
    <w:uiPriority w:val="0"/>
    <w:pPr>
      <w:adjustRightInd w:val="0"/>
      <w:spacing w:line="300" w:lineRule="auto"/>
      <w:textAlignment w:val="baseline"/>
    </w:pPr>
    <w:rPr>
      <w:rFonts w:ascii="Arial" w:hAnsi="Arial"/>
      <w:kern w:val="0"/>
      <w:position w:val="-14"/>
      <w:sz w:val="20"/>
      <w:szCs w:val="20"/>
    </w:rPr>
  </w:style>
  <w:style w:type="paragraph" w:styleId="34">
    <w:name w:val="Title"/>
    <w:basedOn w:val="1"/>
    <w:link w:val="57"/>
    <w:qFormat/>
    <w:uiPriority w:val="0"/>
    <w:pPr>
      <w:adjustRightInd w:val="0"/>
      <w:spacing w:line="300" w:lineRule="auto"/>
      <w:jc w:val="center"/>
      <w:textAlignment w:val="baseline"/>
    </w:pPr>
    <w:rPr>
      <w:rFonts w:ascii="Arial" w:hAnsi="Arial"/>
      <w:b/>
      <w:kern w:val="0"/>
      <w:position w:val="-14"/>
      <w:sz w:val="28"/>
      <w:szCs w:val="20"/>
    </w:rPr>
  </w:style>
  <w:style w:type="paragraph" w:styleId="35">
    <w:name w:val="annotation subject"/>
    <w:basedOn w:val="15"/>
    <w:next w:val="15"/>
    <w:link w:val="64"/>
    <w:semiHidden/>
    <w:qFormat/>
    <w:uiPriority w:val="0"/>
    <w:pPr>
      <w:adjustRightInd/>
      <w:spacing w:line="240" w:lineRule="auto"/>
      <w:textAlignment w:val="auto"/>
    </w:pPr>
    <w:rPr>
      <w:b/>
      <w:bCs/>
      <w:kern w:val="2"/>
      <w:szCs w:val="24"/>
    </w:rPr>
  </w:style>
  <w:style w:type="table" w:styleId="37">
    <w:name w:val="Table Grid"/>
    <w:basedOn w:val="36"/>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9">
    <w:name w:val="page number"/>
    <w:basedOn w:val="38"/>
    <w:qFormat/>
    <w:uiPriority w:val="0"/>
  </w:style>
  <w:style w:type="character" w:styleId="40">
    <w:name w:val="FollowedHyperlink"/>
    <w:qFormat/>
    <w:uiPriority w:val="0"/>
    <w:rPr>
      <w:color w:val="800080"/>
      <w:u w:val="single"/>
    </w:rPr>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character" w:customStyle="1" w:styleId="43">
    <w:name w:val="页眉 字符"/>
    <w:basedOn w:val="38"/>
    <w:link w:val="26"/>
    <w:qFormat/>
    <w:uiPriority w:val="99"/>
    <w:rPr>
      <w:sz w:val="18"/>
      <w:szCs w:val="18"/>
    </w:rPr>
  </w:style>
  <w:style w:type="character" w:customStyle="1" w:styleId="44">
    <w:name w:val="页脚 字符"/>
    <w:basedOn w:val="38"/>
    <w:link w:val="25"/>
    <w:qFormat/>
    <w:uiPriority w:val="99"/>
    <w:rPr>
      <w:sz w:val="18"/>
      <w:szCs w:val="18"/>
    </w:rPr>
  </w:style>
  <w:style w:type="character" w:customStyle="1" w:styleId="45">
    <w:name w:val="标题 1 字符"/>
    <w:basedOn w:val="38"/>
    <w:link w:val="2"/>
    <w:qFormat/>
    <w:uiPriority w:val="0"/>
    <w:rPr>
      <w:rFonts w:ascii="Times New Roman" w:hAnsi="Times New Roman" w:eastAsia="宋体" w:cs="Times New Roman"/>
      <w:b/>
      <w:bCs/>
      <w:kern w:val="44"/>
      <w:sz w:val="36"/>
      <w:szCs w:val="44"/>
    </w:rPr>
  </w:style>
  <w:style w:type="character" w:customStyle="1" w:styleId="46">
    <w:name w:val="标题 2 字符"/>
    <w:basedOn w:val="38"/>
    <w:link w:val="3"/>
    <w:qFormat/>
    <w:uiPriority w:val="0"/>
    <w:rPr>
      <w:rFonts w:ascii="宋体" w:hAnsi="宋体" w:eastAsia="宋体" w:cs="Times New Roman"/>
      <w:b/>
      <w:bCs/>
      <w:sz w:val="30"/>
      <w:szCs w:val="32"/>
    </w:rPr>
  </w:style>
  <w:style w:type="character" w:customStyle="1" w:styleId="47">
    <w:name w:val="标题 3 字符"/>
    <w:basedOn w:val="38"/>
    <w:link w:val="4"/>
    <w:qFormat/>
    <w:uiPriority w:val="0"/>
    <w:rPr>
      <w:rFonts w:ascii="宋体" w:hAnsi="宋体" w:eastAsia="宋体" w:cs="Times New Roman"/>
      <w:b/>
      <w:bCs/>
      <w:sz w:val="24"/>
      <w:szCs w:val="32"/>
    </w:rPr>
  </w:style>
  <w:style w:type="character" w:customStyle="1" w:styleId="48">
    <w:name w:val="标题 4 字符"/>
    <w:basedOn w:val="38"/>
    <w:link w:val="5"/>
    <w:qFormat/>
    <w:uiPriority w:val="0"/>
    <w:rPr>
      <w:rFonts w:ascii="Arial" w:hAnsi="Arial" w:eastAsia="黑体" w:cs="Times New Roman"/>
      <w:b/>
      <w:bCs/>
      <w:sz w:val="28"/>
      <w:szCs w:val="28"/>
    </w:rPr>
  </w:style>
  <w:style w:type="character" w:customStyle="1" w:styleId="49">
    <w:name w:val="标题 5 字符"/>
    <w:basedOn w:val="38"/>
    <w:link w:val="6"/>
    <w:qFormat/>
    <w:uiPriority w:val="0"/>
    <w:rPr>
      <w:rFonts w:ascii="Times New Roman" w:hAnsi="Times New Roman" w:eastAsia="宋体" w:cs="Times New Roman"/>
      <w:b/>
      <w:bCs/>
      <w:sz w:val="28"/>
      <w:szCs w:val="28"/>
    </w:rPr>
  </w:style>
  <w:style w:type="character" w:customStyle="1" w:styleId="50">
    <w:name w:val="标题 6 字符"/>
    <w:basedOn w:val="38"/>
    <w:link w:val="7"/>
    <w:qFormat/>
    <w:uiPriority w:val="0"/>
    <w:rPr>
      <w:rFonts w:ascii="Arial" w:hAnsi="Arial" w:eastAsia="黑体" w:cs="Times New Roman"/>
      <w:b/>
      <w:bCs/>
      <w:sz w:val="24"/>
      <w:szCs w:val="24"/>
    </w:rPr>
  </w:style>
  <w:style w:type="character" w:customStyle="1" w:styleId="51">
    <w:name w:val="标题 7 字符"/>
    <w:basedOn w:val="38"/>
    <w:link w:val="8"/>
    <w:qFormat/>
    <w:uiPriority w:val="0"/>
    <w:rPr>
      <w:rFonts w:ascii="Times New Roman" w:hAnsi="Times New Roman" w:eastAsia="宋体" w:cs="Times New Roman"/>
      <w:b/>
      <w:bCs/>
      <w:sz w:val="24"/>
      <w:szCs w:val="24"/>
    </w:rPr>
  </w:style>
  <w:style w:type="character" w:customStyle="1" w:styleId="52">
    <w:name w:val="标题 8 字符"/>
    <w:basedOn w:val="38"/>
    <w:link w:val="9"/>
    <w:qFormat/>
    <w:uiPriority w:val="0"/>
    <w:rPr>
      <w:rFonts w:ascii="Arial" w:hAnsi="Arial" w:eastAsia="黑体" w:cs="Times New Roman"/>
      <w:kern w:val="0"/>
      <w:position w:val="-14"/>
      <w:sz w:val="24"/>
      <w:szCs w:val="24"/>
    </w:rPr>
  </w:style>
  <w:style w:type="character" w:customStyle="1" w:styleId="53">
    <w:name w:val="标题 9 字符"/>
    <w:basedOn w:val="38"/>
    <w:link w:val="10"/>
    <w:qFormat/>
    <w:uiPriority w:val="0"/>
    <w:rPr>
      <w:rFonts w:ascii="Arial" w:hAnsi="Arial" w:eastAsia="黑体" w:cs="Times New Roman"/>
      <w:szCs w:val="21"/>
    </w:rPr>
  </w:style>
  <w:style w:type="character" w:customStyle="1" w:styleId="54">
    <w:name w:val="正文文本 字符"/>
    <w:basedOn w:val="38"/>
    <w:link w:val="17"/>
    <w:qFormat/>
    <w:uiPriority w:val="0"/>
    <w:rPr>
      <w:rFonts w:ascii="Times New Roman" w:hAnsi="Times New Roman" w:eastAsia="宋体" w:cs="Times New Roman"/>
      <w:spacing w:val="5"/>
      <w:sz w:val="24"/>
      <w:szCs w:val="24"/>
    </w:rPr>
  </w:style>
  <w:style w:type="paragraph" w:customStyle="1" w:styleId="55">
    <w:name w:val="正文1"/>
    <w:basedOn w:val="1"/>
    <w:link w:val="97"/>
    <w:qFormat/>
    <w:uiPriority w:val="0"/>
    <w:pPr>
      <w:ind w:firstLine="420" w:firstLineChars="200"/>
    </w:pPr>
    <w:rPr>
      <w:rFonts w:ascii="宋体" w:hAnsi="宋体"/>
      <w:szCs w:val="20"/>
    </w:rPr>
  </w:style>
  <w:style w:type="character" w:customStyle="1" w:styleId="56">
    <w:name w:val="批注框文本 字符"/>
    <w:basedOn w:val="38"/>
    <w:link w:val="24"/>
    <w:semiHidden/>
    <w:qFormat/>
    <w:uiPriority w:val="0"/>
    <w:rPr>
      <w:rFonts w:ascii="Times New Roman" w:hAnsi="Times New Roman" w:eastAsia="宋体" w:cs="Times New Roman"/>
      <w:sz w:val="18"/>
      <w:szCs w:val="18"/>
    </w:rPr>
  </w:style>
  <w:style w:type="character" w:customStyle="1" w:styleId="57">
    <w:name w:val="标题 字符"/>
    <w:basedOn w:val="38"/>
    <w:link w:val="34"/>
    <w:qFormat/>
    <w:uiPriority w:val="0"/>
    <w:rPr>
      <w:rFonts w:ascii="Arial" w:hAnsi="Arial" w:eastAsia="宋体" w:cs="Times New Roman"/>
      <w:b/>
      <w:kern w:val="0"/>
      <w:position w:val="-14"/>
      <w:sz w:val="28"/>
      <w:szCs w:val="20"/>
    </w:rPr>
  </w:style>
  <w:style w:type="character" w:customStyle="1" w:styleId="58">
    <w:name w:val="正文文本 2 字符"/>
    <w:basedOn w:val="38"/>
    <w:link w:val="33"/>
    <w:qFormat/>
    <w:uiPriority w:val="0"/>
    <w:rPr>
      <w:rFonts w:ascii="Arial" w:hAnsi="Arial" w:eastAsia="宋体" w:cs="Times New Roman"/>
      <w:kern w:val="0"/>
      <w:position w:val="-14"/>
      <w:sz w:val="20"/>
      <w:szCs w:val="20"/>
    </w:rPr>
  </w:style>
  <w:style w:type="character" w:customStyle="1" w:styleId="59">
    <w:name w:val="批注文字 字符"/>
    <w:basedOn w:val="38"/>
    <w:link w:val="15"/>
    <w:semiHidden/>
    <w:qFormat/>
    <w:uiPriority w:val="0"/>
    <w:rPr>
      <w:rFonts w:ascii="Times New Roman" w:hAnsi="Times New Roman" w:eastAsia="宋体" w:cs="Times New Roman"/>
      <w:kern w:val="0"/>
      <w:position w:val="-14"/>
      <w:szCs w:val="20"/>
    </w:rPr>
  </w:style>
  <w:style w:type="character" w:customStyle="1" w:styleId="60">
    <w:name w:val="正文文本 3 字符"/>
    <w:basedOn w:val="38"/>
    <w:link w:val="16"/>
    <w:qFormat/>
    <w:uiPriority w:val="0"/>
    <w:rPr>
      <w:rFonts w:ascii="Times New Roman" w:hAnsi="Times New Roman" w:eastAsia="宋体" w:cs="Times New Roman"/>
      <w:sz w:val="16"/>
      <w:szCs w:val="16"/>
    </w:rPr>
  </w:style>
  <w:style w:type="character" w:customStyle="1" w:styleId="61">
    <w:name w:val="正文文本缩进 字符"/>
    <w:basedOn w:val="38"/>
    <w:link w:val="18"/>
    <w:qFormat/>
    <w:uiPriority w:val="0"/>
    <w:rPr>
      <w:rFonts w:ascii="Times New Roman" w:hAnsi="Times New Roman" w:eastAsia="宋体" w:cs="Times New Roman"/>
      <w:szCs w:val="24"/>
    </w:rPr>
  </w:style>
  <w:style w:type="character" w:customStyle="1" w:styleId="62">
    <w:name w:val="文档结构图 字符"/>
    <w:basedOn w:val="38"/>
    <w:link w:val="14"/>
    <w:semiHidden/>
    <w:qFormat/>
    <w:uiPriority w:val="0"/>
    <w:rPr>
      <w:rFonts w:ascii="Times New Roman" w:hAnsi="Times New Roman" w:eastAsia="宋体" w:cs="Times New Roman"/>
      <w:szCs w:val="24"/>
      <w:shd w:val="clear" w:color="auto" w:fill="000080"/>
    </w:rPr>
  </w:style>
  <w:style w:type="paragraph" w:customStyle="1" w:styleId="63">
    <w:name w:val="È±Ê¡ÎÄ±¾"/>
    <w:basedOn w:val="1"/>
    <w:qFormat/>
    <w:uiPriority w:val="0"/>
    <w:pPr>
      <w:widowControl/>
      <w:overflowPunct w:val="0"/>
      <w:autoSpaceDE w:val="0"/>
      <w:autoSpaceDN w:val="0"/>
      <w:adjustRightInd w:val="0"/>
      <w:jc w:val="left"/>
      <w:textAlignment w:val="baseline"/>
    </w:pPr>
    <w:rPr>
      <w:kern w:val="0"/>
      <w:sz w:val="24"/>
      <w:szCs w:val="20"/>
    </w:rPr>
  </w:style>
  <w:style w:type="character" w:customStyle="1" w:styleId="64">
    <w:name w:val="批注主题 字符"/>
    <w:basedOn w:val="59"/>
    <w:link w:val="35"/>
    <w:semiHidden/>
    <w:qFormat/>
    <w:uiPriority w:val="0"/>
    <w:rPr>
      <w:rFonts w:ascii="Times New Roman" w:hAnsi="Times New Roman" w:eastAsia="宋体" w:cs="Times New Roman"/>
      <w:b/>
      <w:bCs/>
      <w:kern w:val="0"/>
      <w:position w:val="-14"/>
      <w:szCs w:val="24"/>
    </w:rPr>
  </w:style>
  <w:style w:type="paragraph" w:customStyle="1" w:styleId="65">
    <w:name w:val="第二标题"/>
    <w:basedOn w:val="3"/>
    <w:next w:val="1"/>
    <w:qFormat/>
    <w:uiPriority w:val="0"/>
    <w:pPr>
      <w:keepLines w:val="0"/>
      <w:numPr>
        <w:ilvl w:val="0"/>
        <w:numId w:val="0"/>
      </w:numPr>
      <w:spacing w:before="0" w:after="260" w:line="300" w:lineRule="auto"/>
    </w:pPr>
    <w:rPr>
      <w:rFonts w:ascii="Arial" w:hAnsi="Arial"/>
      <w:b w:val="0"/>
      <w:bCs w:val="0"/>
      <w:sz w:val="28"/>
      <w:szCs w:val="28"/>
    </w:rPr>
  </w:style>
  <w:style w:type="character" w:customStyle="1" w:styleId="66">
    <w:name w:val="纯文本 字符"/>
    <w:basedOn w:val="38"/>
    <w:link w:val="22"/>
    <w:qFormat/>
    <w:uiPriority w:val="0"/>
    <w:rPr>
      <w:rFonts w:ascii="宋体" w:hAnsi="Courier New" w:eastAsia="宋体" w:cs="Times New Roman"/>
      <w:szCs w:val="20"/>
    </w:rPr>
  </w:style>
  <w:style w:type="paragraph" w:customStyle="1" w:styleId="67">
    <w:name w:val="正文5"/>
    <w:basedOn w:val="1"/>
    <w:qFormat/>
    <w:uiPriority w:val="0"/>
    <w:pPr>
      <w:numPr>
        <w:ilvl w:val="0"/>
        <w:numId w:val="2"/>
      </w:numPr>
      <w:tabs>
        <w:tab w:val="clear" w:pos="780"/>
      </w:tabs>
      <w:ind w:left="2198" w:leftChars="0" w:hanging="2198" w:firstLineChars="0"/>
    </w:pPr>
    <w:rPr>
      <w:rFonts w:ascii="Arial" w:hAnsi="Arial" w:cs="Arial"/>
      <w:sz w:val="24"/>
    </w:rPr>
  </w:style>
  <w:style w:type="paragraph" w:customStyle="1" w:styleId="68">
    <w:name w:val="正文4"/>
    <w:basedOn w:val="1"/>
    <w:qFormat/>
    <w:uiPriority w:val="0"/>
    <w:pPr>
      <w:spacing w:beforeLines="20" w:afterLines="20"/>
      <w:ind w:left="728" w:hanging="280" w:hangingChars="280"/>
    </w:pPr>
    <w:rPr>
      <w:rFonts w:ascii="Arial" w:hAnsi="Arial" w:eastAsia="黑体" w:cs="Arial"/>
    </w:rPr>
  </w:style>
  <w:style w:type="paragraph" w:customStyle="1" w:styleId="69">
    <w:name w:val="正文2 Char Char"/>
    <w:basedOn w:val="1"/>
    <w:link w:val="70"/>
    <w:qFormat/>
    <w:uiPriority w:val="0"/>
    <w:pPr>
      <w:spacing w:beforeLines="20" w:afterLines="20"/>
      <w:ind w:firstLine="519" w:firstLineChars="200"/>
    </w:pPr>
    <w:rPr>
      <w:rFonts w:ascii="宋体"/>
      <w:sz w:val="24"/>
    </w:rPr>
  </w:style>
  <w:style w:type="character" w:customStyle="1" w:styleId="70">
    <w:name w:val="正文2 Char Char Char"/>
    <w:link w:val="69"/>
    <w:qFormat/>
    <w:uiPriority w:val="0"/>
    <w:rPr>
      <w:rFonts w:ascii="宋体" w:hAnsi="Times New Roman" w:eastAsia="宋体" w:cs="Times New Roman"/>
      <w:sz w:val="24"/>
      <w:szCs w:val="24"/>
    </w:rPr>
  </w:style>
  <w:style w:type="paragraph" w:customStyle="1" w:styleId="71">
    <w:name w:val="正文2"/>
    <w:basedOn w:val="55"/>
    <w:qFormat/>
    <w:uiPriority w:val="0"/>
    <w:pPr>
      <w:spacing w:beforeLines="15" w:afterLines="15"/>
      <w:ind w:firstLine="480"/>
    </w:pPr>
    <w:rPr>
      <w:rFonts w:ascii="Times New Roman" w:hAnsi="Times New Roman"/>
      <w:sz w:val="24"/>
    </w:rPr>
  </w:style>
  <w:style w:type="paragraph" w:customStyle="1" w:styleId="72">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 w:type="character" w:customStyle="1" w:styleId="73">
    <w:name w:val="正文2 Char"/>
    <w:qFormat/>
    <w:uiPriority w:val="0"/>
    <w:rPr>
      <w:rFonts w:ascii="Arial" w:hAnsi="Arial" w:eastAsia="宋体" w:cs="Arial"/>
      <w:bCs/>
      <w:kern w:val="2"/>
      <w:sz w:val="24"/>
      <w:lang w:val="en-US" w:eastAsia="zh-CN" w:bidi="ar-SA"/>
    </w:rPr>
  </w:style>
  <w:style w:type="paragraph" w:customStyle="1" w:styleId="74">
    <w:name w:val="样式 标题 1 + 加粗"/>
    <w:basedOn w:val="2"/>
    <w:qFormat/>
    <w:uiPriority w:val="0"/>
    <w:pPr>
      <w:keepLines w:val="0"/>
      <w:numPr>
        <w:numId w:val="0"/>
      </w:numPr>
      <w:spacing w:before="0" w:after="0" w:line="300" w:lineRule="auto"/>
    </w:pPr>
    <w:rPr>
      <w:rFonts w:ascii="Arial" w:hAnsi="Arial"/>
      <w:b w:val="0"/>
      <w:kern w:val="2"/>
      <w:sz w:val="28"/>
      <w:szCs w:val="20"/>
    </w:rPr>
  </w:style>
  <w:style w:type="paragraph" w:customStyle="1" w:styleId="75">
    <w:name w:val="样式 标题 2 + 加粗 无下划线"/>
    <w:basedOn w:val="3"/>
    <w:link w:val="76"/>
    <w:qFormat/>
    <w:uiPriority w:val="0"/>
    <w:pPr>
      <w:keepLines w:val="0"/>
      <w:numPr>
        <w:ilvl w:val="0"/>
        <w:numId w:val="0"/>
      </w:numPr>
      <w:spacing w:before="0" w:after="0" w:line="300" w:lineRule="auto"/>
    </w:pPr>
    <w:rPr>
      <w:rFonts w:ascii="Arial" w:hAnsi="Arial"/>
      <w:sz w:val="24"/>
    </w:rPr>
  </w:style>
  <w:style w:type="character" w:customStyle="1" w:styleId="76">
    <w:name w:val="样式 标题 2 + 加粗 无下划线 Char"/>
    <w:link w:val="75"/>
    <w:qFormat/>
    <w:uiPriority w:val="0"/>
    <w:rPr>
      <w:rFonts w:ascii="Arial" w:hAnsi="Arial" w:eastAsia="宋体" w:cs="Times New Roman"/>
      <w:b/>
      <w:bCs/>
      <w:sz w:val="24"/>
      <w:szCs w:val="32"/>
    </w:rPr>
  </w:style>
  <w:style w:type="paragraph" w:customStyle="1" w:styleId="77">
    <w:name w:val="标题2"/>
    <w:basedOn w:val="3"/>
    <w:next w:val="1"/>
    <w:qFormat/>
    <w:uiPriority w:val="0"/>
    <w:pPr>
      <w:keepLines w:val="0"/>
      <w:numPr>
        <w:ilvl w:val="0"/>
        <w:numId w:val="0"/>
      </w:numPr>
      <w:spacing w:before="300" w:after="260" w:line="300" w:lineRule="auto"/>
    </w:pPr>
    <w:rPr>
      <w:rFonts w:ascii="Arial" w:hAnsi="Arial"/>
      <w:bCs w:val="0"/>
      <w:sz w:val="24"/>
      <w:szCs w:val="28"/>
    </w:rPr>
  </w:style>
  <w:style w:type="paragraph" w:customStyle="1" w:styleId="78">
    <w:name w:val="标题3"/>
    <w:basedOn w:val="4"/>
    <w:next w:val="1"/>
    <w:qFormat/>
    <w:uiPriority w:val="0"/>
    <w:pPr>
      <w:keepLines w:val="0"/>
      <w:numPr>
        <w:ilvl w:val="0"/>
        <w:numId w:val="0"/>
      </w:numPr>
      <w:spacing w:before="240" w:after="240" w:line="300" w:lineRule="auto"/>
    </w:pPr>
    <w:rPr>
      <w:rFonts w:ascii="Arial" w:hAnsi="Arial"/>
      <w:bCs w:val="0"/>
      <w:sz w:val="21"/>
      <w:szCs w:val="21"/>
    </w:rPr>
  </w:style>
  <w:style w:type="paragraph" w:customStyle="1" w:styleId="79">
    <w:name w:val="第一标题"/>
    <w:basedOn w:val="2"/>
    <w:next w:val="1"/>
    <w:qFormat/>
    <w:uiPriority w:val="0"/>
    <w:pPr>
      <w:numPr>
        <w:numId w:val="0"/>
      </w:numPr>
      <w:spacing w:before="360" w:after="330" w:line="300" w:lineRule="auto"/>
      <w:jc w:val="center"/>
    </w:pPr>
    <w:rPr>
      <w:rFonts w:ascii="Arial" w:hAnsi="Arial" w:eastAsia="黑体"/>
      <w:bCs w:val="0"/>
      <w:kern w:val="2"/>
      <w:sz w:val="32"/>
      <w:szCs w:val="20"/>
    </w:rPr>
  </w:style>
  <w:style w:type="paragraph" w:customStyle="1" w:styleId="80">
    <w:name w:val="第三标题"/>
    <w:basedOn w:val="4"/>
    <w:next w:val="1"/>
    <w:qFormat/>
    <w:uiPriority w:val="0"/>
    <w:pPr>
      <w:keepLines w:val="0"/>
      <w:numPr>
        <w:ilvl w:val="0"/>
        <w:numId w:val="0"/>
      </w:numPr>
      <w:spacing w:before="260" w:after="260" w:line="300" w:lineRule="auto"/>
    </w:pPr>
    <w:rPr>
      <w:rFonts w:ascii="Arial" w:hAnsi="Arial"/>
      <w:bCs w:val="0"/>
      <w:szCs w:val="24"/>
    </w:rPr>
  </w:style>
  <w:style w:type="paragraph" w:customStyle="1" w:styleId="81">
    <w:name w:val="第四标题"/>
    <w:basedOn w:val="5"/>
    <w:next w:val="1"/>
    <w:qFormat/>
    <w:uiPriority w:val="0"/>
    <w:pPr>
      <w:keepLines w:val="0"/>
      <w:numPr>
        <w:ilvl w:val="0"/>
        <w:numId w:val="0"/>
      </w:numPr>
      <w:spacing w:before="0" w:after="240" w:line="300" w:lineRule="auto"/>
    </w:pPr>
    <w:rPr>
      <w:rFonts w:eastAsia="Arial"/>
      <w:sz w:val="21"/>
      <w:szCs w:val="20"/>
    </w:rPr>
  </w:style>
  <w:style w:type="paragraph" w:customStyle="1" w:styleId="82">
    <w:name w:val="Style1"/>
    <w:basedOn w:val="1"/>
    <w:link w:val="83"/>
    <w:qFormat/>
    <w:uiPriority w:val="0"/>
    <w:pPr>
      <w:widowControl/>
      <w:jc w:val="left"/>
    </w:pPr>
    <w:rPr>
      <w:b/>
      <w:caps/>
      <w:kern w:val="0"/>
      <w:sz w:val="22"/>
      <w:szCs w:val="22"/>
      <w:lang w:eastAsia="en-US"/>
    </w:rPr>
  </w:style>
  <w:style w:type="character" w:customStyle="1" w:styleId="83">
    <w:name w:val="Style1 Char"/>
    <w:link w:val="82"/>
    <w:qFormat/>
    <w:uiPriority w:val="0"/>
    <w:rPr>
      <w:rFonts w:ascii="Times New Roman" w:hAnsi="Times New Roman" w:eastAsia="宋体" w:cs="Times New Roman"/>
      <w:b/>
      <w:caps/>
      <w:kern w:val="0"/>
      <w:sz w:val="22"/>
      <w:lang w:eastAsia="en-US"/>
    </w:rPr>
  </w:style>
  <w:style w:type="paragraph" w:customStyle="1" w:styleId="84">
    <w:name w:val="Char"/>
    <w:basedOn w:val="1"/>
    <w:qFormat/>
    <w:uiPriority w:val="0"/>
    <w:pPr>
      <w:ind w:left="432" w:hanging="432"/>
    </w:pPr>
    <w:rPr>
      <w:sz w:val="24"/>
    </w:rPr>
  </w:style>
  <w:style w:type="character" w:customStyle="1" w:styleId="85">
    <w:name w:val="Footer Char"/>
    <w:qFormat/>
    <w:locked/>
    <w:uiPriority w:val="0"/>
    <w:rPr>
      <w:rFonts w:eastAsia="宋体"/>
      <w:kern w:val="2"/>
      <w:sz w:val="18"/>
      <w:szCs w:val="18"/>
      <w:lang w:val="en-US" w:eastAsia="zh-CN" w:bidi="ar-SA"/>
    </w:rPr>
  </w:style>
  <w:style w:type="paragraph" w:customStyle="1" w:styleId="86">
    <w:name w:val="图表"/>
    <w:basedOn w:val="13"/>
    <w:qFormat/>
    <w:uiPriority w:val="0"/>
    <w:pPr>
      <w:numPr>
        <w:ilvl w:val="0"/>
        <w:numId w:val="3"/>
      </w:numPr>
      <w:tabs>
        <w:tab w:val="clear" w:pos="420"/>
      </w:tabs>
      <w:adjustRightInd/>
      <w:spacing w:before="0" w:after="0" w:line="240" w:lineRule="auto"/>
      <w:ind w:left="0" w:firstLine="0"/>
      <w:jc w:val="center"/>
      <w:textAlignment w:val="auto"/>
    </w:pPr>
    <w:rPr>
      <w:rFonts w:ascii="Arial" w:hAnsi="Arial" w:eastAsia="宋体" w:cs="Arial"/>
      <w:b w:val="0"/>
      <w:kern w:val="2"/>
      <w:sz w:val="21"/>
    </w:rPr>
  </w:style>
  <w:style w:type="paragraph" w:customStyle="1" w:styleId="87">
    <w:name w:val="正文_提示标题"/>
    <w:basedOn w:val="1"/>
    <w:next w:val="1"/>
    <w:qFormat/>
    <w:uiPriority w:val="0"/>
    <w:pPr>
      <w:tabs>
        <w:tab w:val="left" w:pos="432"/>
        <w:tab w:val="left" w:pos="1344"/>
      </w:tabs>
      <w:spacing w:beforeLines="50" w:afterLines="50" w:line="271" w:lineRule="auto"/>
      <w:ind w:left="984" w:hanging="432"/>
    </w:pPr>
    <w:rPr>
      <w:rFonts w:eastAsia="黑体"/>
      <w:bCs/>
      <w:color w:val="000000"/>
      <w:kern w:val="0"/>
      <w:sz w:val="24"/>
    </w:rPr>
  </w:style>
  <w:style w:type="character" w:customStyle="1" w:styleId="88">
    <w:name w:val="正文缩进 字符"/>
    <w:link w:val="12"/>
    <w:qFormat/>
    <w:uiPriority w:val="0"/>
    <w:rPr>
      <w:rFonts w:ascii="Times New Roman" w:hAnsi="Times New Roman" w:eastAsia="宋体" w:cs="Times New Roman"/>
      <w:szCs w:val="20"/>
    </w:rPr>
  </w:style>
  <w:style w:type="paragraph" w:styleId="89">
    <w:name w:val="List Paragraph"/>
    <w:basedOn w:val="1"/>
    <w:qFormat/>
    <w:uiPriority w:val="34"/>
    <w:pPr>
      <w:ind w:firstLine="420" w:firstLineChars="200"/>
    </w:pPr>
  </w:style>
  <w:style w:type="paragraph" w:customStyle="1" w:styleId="90">
    <w:name w:val="Char3"/>
    <w:basedOn w:val="1"/>
    <w:qFormat/>
    <w:uiPriority w:val="0"/>
    <w:pPr>
      <w:ind w:left="432" w:hanging="432"/>
    </w:pPr>
    <w:rPr>
      <w:sz w:val="24"/>
    </w:rPr>
  </w:style>
  <w:style w:type="character" w:customStyle="1" w:styleId="91">
    <w:name w:val="样式 黑色2"/>
    <w:qFormat/>
    <w:uiPriority w:val="0"/>
    <w:rPr>
      <w:rFonts w:ascii="Times New Roman" w:hAnsi="Times New Roman" w:eastAsia="宋体"/>
      <w:color w:val="000000"/>
      <w:sz w:val="24"/>
    </w:rPr>
  </w:style>
  <w:style w:type="paragraph" w:customStyle="1" w:styleId="92">
    <w:name w:val="Char2"/>
    <w:basedOn w:val="1"/>
    <w:qFormat/>
    <w:uiPriority w:val="0"/>
    <w:pPr>
      <w:ind w:left="431" w:hanging="431"/>
    </w:pPr>
    <w:rPr>
      <w:sz w:val="24"/>
    </w:rPr>
  </w:style>
  <w:style w:type="paragraph" w:customStyle="1" w:styleId="93">
    <w:name w:val="黑色"/>
    <w:basedOn w:val="1"/>
    <w:link w:val="94"/>
    <w:qFormat/>
    <w:uiPriority w:val="0"/>
    <w:pPr>
      <w:snapToGrid w:val="0"/>
      <w:spacing w:beforeLines="50" w:afterLines="20" w:line="271" w:lineRule="auto"/>
      <w:ind w:firstLine="531" w:firstLineChars="200"/>
    </w:pPr>
    <w:rPr>
      <w:kern w:val="0"/>
      <w:sz w:val="24"/>
    </w:rPr>
  </w:style>
  <w:style w:type="character" w:customStyle="1" w:styleId="94">
    <w:name w:val="黑色 Char"/>
    <w:link w:val="93"/>
    <w:qFormat/>
    <w:uiPriority w:val="0"/>
    <w:rPr>
      <w:rFonts w:ascii="Times New Roman" w:hAnsi="Times New Roman" w:eastAsia="宋体" w:cs="Times New Roman"/>
      <w:kern w:val="0"/>
      <w:sz w:val="24"/>
      <w:szCs w:val="24"/>
    </w:rPr>
  </w:style>
  <w:style w:type="paragraph" w:customStyle="1" w:styleId="95">
    <w:name w:val="Char1"/>
    <w:basedOn w:val="1"/>
    <w:qFormat/>
    <w:uiPriority w:val="0"/>
    <w:pPr>
      <w:ind w:left="432" w:hanging="432"/>
    </w:pPr>
    <w:rPr>
      <w:sz w:val="24"/>
    </w:rPr>
  </w:style>
  <w:style w:type="paragraph" w:customStyle="1" w:styleId="96">
    <w:name w:val="样式 标题 3 + 加粗"/>
    <w:basedOn w:val="4"/>
    <w:qFormat/>
    <w:uiPriority w:val="0"/>
    <w:pPr>
      <w:numPr>
        <w:ilvl w:val="0"/>
        <w:numId w:val="0"/>
      </w:numPr>
      <w:tabs>
        <w:tab w:val="left" w:pos="780"/>
      </w:tabs>
      <w:spacing w:beforeLines="50" w:afterLines="50" w:line="240" w:lineRule="auto"/>
      <w:ind w:left="780" w:leftChars="200" w:hanging="360" w:hangingChars="200"/>
    </w:pPr>
  </w:style>
  <w:style w:type="character" w:customStyle="1" w:styleId="97">
    <w:name w:val="正文1 Char"/>
    <w:link w:val="55"/>
    <w:qFormat/>
    <w:locked/>
    <w:uiPriority w:val="0"/>
    <w:rPr>
      <w:rFonts w:ascii="宋体" w:hAnsi="宋体" w:eastAsia="宋体" w:cs="Times New Roman"/>
      <w:szCs w:val="20"/>
    </w:rPr>
  </w:style>
  <w:style w:type="paragraph" w:customStyle="1" w:styleId="98">
    <w:name w:val="样式3"/>
    <w:basedOn w:val="3"/>
    <w:qFormat/>
    <w:uiPriority w:val="0"/>
    <w:pPr>
      <w:numPr>
        <w:ilvl w:val="0"/>
        <w:numId w:val="0"/>
      </w:numPr>
      <w:tabs>
        <w:tab w:val="left" w:pos="525"/>
        <w:tab w:val="left" w:pos="720"/>
      </w:tabs>
      <w:spacing w:before="240" w:after="100" w:afterAutospacing="1" w:line="240" w:lineRule="auto"/>
      <w:jc w:val="left"/>
    </w:pPr>
    <w:rPr>
      <w:rFonts w:ascii="Times New Roman" w:hAnsi="Times New Roman"/>
      <w:bCs w:val="0"/>
      <w:sz w:val="32"/>
    </w:rPr>
  </w:style>
  <w:style w:type="paragraph" w:customStyle="1" w:styleId="99">
    <w:name w:val="样式4"/>
    <w:basedOn w:val="2"/>
    <w:qFormat/>
    <w:uiPriority w:val="0"/>
    <w:pPr>
      <w:keepNext w:val="0"/>
      <w:keepLines w:val="0"/>
      <w:pageBreakBefore/>
      <w:numPr>
        <w:numId w:val="0"/>
      </w:numPr>
      <w:tabs>
        <w:tab w:val="left" w:pos="567"/>
      </w:tabs>
      <w:spacing w:before="0" w:after="0" w:line="360" w:lineRule="auto"/>
      <w:jc w:val="center"/>
    </w:pPr>
    <w:rPr>
      <w:bCs w:val="0"/>
      <w:kern w:val="2"/>
      <w:szCs w:val="36"/>
    </w:rPr>
  </w:style>
  <w:style w:type="paragraph" w:customStyle="1" w:styleId="100">
    <w:name w:val="样式5"/>
    <w:basedOn w:val="98"/>
    <w:next w:val="1"/>
    <w:link w:val="101"/>
    <w:qFormat/>
    <w:uiPriority w:val="0"/>
    <w:pPr>
      <w:tabs>
        <w:tab w:val="left" w:pos="837"/>
        <w:tab w:val="clear" w:pos="720"/>
      </w:tabs>
      <w:ind w:left="837" w:hanging="567"/>
    </w:pPr>
  </w:style>
  <w:style w:type="character" w:customStyle="1" w:styleId="101">
    <w:name w:val="样式5 Char"/>
    <w:link w:val="100"/>
    <w:qFormat/>
    <w:uiPriority w:val="0"/>
    <w:rPr>
      <w:rFonts w:ascii="Times New Roman" w:hAnsi="Times New Roman" w:eastAsia="宋体" w:cs="Times New Roman"/>
      <w:b/>
      <w:sz w:val="32"/>
      <w:szCs w:val="32"/>
    </w:rPr>
  </w:style>
  <w:style w:type="paragraph" w:customStyle="1" w:styleId="102">
    <w:name w:val="Appendix 1"/>
    <w:basedOn w:val="2"/>
    <w:next w:val="12"/>
    <w:qFormat/>
    <w:uiPriority w:val="0"/>
    <w:pPr>
      <w:pageBreakBefore/>
      <w:numPr>
        <w:numId w:val="0"/>
      </w:numPr>
      <w:spacing w:after="120" w:line="240" w:lineRule="auto"/>
      <w:jc w:val="center"/>
    </w:pPr>
  </w:style>
  <w:style w:type="paragraph" w:customStyle="1" w:styleId="103">
    <w:name w:val="Appendix 2"/>
    <w:basedOn w:val="3"/>
    <w:next w:val="12"/>
    <w:qFormat/>
    <w:uiPriority w:val="0"/>
    <w:pPr>
      <w:numPr>
        <w:numId w:val="4"/>
      </w:numPr>
      <w:tabs>
        <w:tab w:val="left" w:pos="525"/>
        <w:tab w:val="left" w:pos="720"/>
      </w:tabs>
      <w:spacing w:before="60" w:after="0" w:line="240" w:lineRule="auto"/>
    </w:pPr>
    <w:rPr>
      <w:rFonts w:ascii="Times New Roman" w:hAnsi="Times New Roman"/>
      <w:sz w:val="32"/>
    </w:rPr>
  </w:style>
  <w:style w:type="paragraph" w:customStyle="1" w:styleId="104">
    <w:name w:val="Appendix 3"/>
    <w:basedOn w:val="4"/>
    <w:next w:val="12"/>
    <w:qFormat/>
    <w:uiPriority w:val="0"/>
    <w:pPr>
      <w:numPr>
        <w:numId w:val="4"/>
      </w:numPr>
      <w:spacing w:before="60" w:after="0" w:line="240" w:lineRule="auto"/>
    </w:pPr>
    <w:rPr>
      <w:rFonts w:ascii="Times New Roman" w:hAnsi="Times New Roman"/>
      <w:sz w:val="28"/>
    </w:rPr>
  </w:style>
  <w:style w:type="paragraph" w:customStyle="1" w:styleId="105">
    <w:name w:val="Appendix 4"/>
    <w:basedOn w:val="5"/>
    <w:next w:val="12"/>
    <w:qFormat/>
    <w:uiPriority w:val="0"/>
    <w:pPr>
      <w:numPr>
        <w:numId w:val="4"/>
      </w:numPr>
      <w:tabs>
        <w:tab w:val="left" w:pos="840"/>
        <w:tab w:val="left" w:pos="1080"/>
        <w:tab w:val="clear" w:pos="864"/>
      </w:tabs>
      <w:spacing w:before="60" w:after="0" w:line="240" w:lineRule="auto"/>
    </w:pPr>
    <w:rPr>
      <w:rFonts w:ascii="Times New Roman" w:hAnsi="Times New Roman" w:eastAsia="宋体"/>
      <w:sz w:val="24"/>
    </w:rPr>
  </w:style>
  <w:style w:type="paragraph" w:customStyle="1" w:styleId="106">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107">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8">
    <w:name w:val="TOC 标题1"/>
    <w:basedOn w:val="2"/>
    <w:next w:val="1"/>
    <w:unhideWhenUsed/>
    <w:qFormat/>
    <w:uiPriority w:val="39"/>
    <w:pPr>
      <w:widowControl/>
      <w:numPr>
        <w:numId w:val="0"/>
      </w:numPr>
      <w:spacing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paragraph" w:styleId="109">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D3482A-8F48-4F98-8850-3D5364DD1ED0}">
  <ds:schemaRefs/>
</ds:datastoreItem>
</file>

<file path=docProps/app.xml><?xml version="1.0" encoding="utf-8"?>
<Properties xmlns="http://schemas.openxmlformats.org/officeDocument/2006/extended-properties" xmlns:vt="http://schemas.openxmlformats.org/officeDocument/2006/docPropsVTypes">
  <Company>微软中国</Company>
  <Pages>8</Pages>
  <Words>1982</Words>
  <Characters>2121</Characters>
  <Lines>176</Lines>
  <Paragraphs>215</Paragraphs>
  <TotalTime>212</TotalTime>
  <ScaleCrop>false</ScaleCrop>
  <LinksUpToDate>false</LinksUpToDate>
  <CharactersWithSpaces>3888</CharactersWithSpaces>
  <Application>WPS Office WWO_dingtalk_20240221035043-c523bba0e7</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2025-09-26T18:47:00Z</dcterms:created>
  <dc:creator>W</dc:creator>
  <cp:lastModifiedBy>bingbing 赵</cp:lastModifiedBy>
  <dcterms:modified xsi:type="dcterms:W3CDTF">2025-10-23T15:04:22Z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BB8DA1FA0C6B42F18C6C291FEAC73118</vt:lpwstr>
  </property>
  <property fmtid="{D5CDD505-2E9C-101B-9397-08002B2CF9AE}" pid="4" name="KSOTemplateDocerSaveRecord">
    <vt:lpwstr>eyJoZGlkIjoiNjY1YjAxM2YwMTA4MzNkOTZmYjVjOTU1NjQ1Mzc1YTYiLCJ1c2VySWQiOiI2NTIyNzY3MTgifQ==</vt:lpwstr>
  </property>
</Properties>
</file>